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4705A" w14:textId="77777777" w:rsidR="00D824D3" w:rsidRPr="00FC43CA" w:rsidRDefault="006F63F6">
      <w:pPr>
        <w:tabs>
          <w:tab w:val="left" w:pos="905"/>
          <w:tab w:val="right" w:pos="9298"/>
        </w:tabs>
        <w:spacing w:after="0" w:line="360" w:lineRule="auto"/>
        <w:jc w:val="right"/>
        <w:rPr>
          <w:rFonts w:ascii="Tahoma" w:eastAsia="Tahoma" w:hAnsi="Tahoma" w:cs="Tahoma"/>
          <w:color w:val="808080"/>
          <w:sz w:val="20"/>
          <w:szCs w:val="20"/>
          <w:highlight w:val="red"/>
        </w:rPr>
      </w:pPr>
      <w:r>
        <w:rPr>
          <w:rFonts w:ascii="Tahoma" w:eastAsia="Tahoma" w:hAnsi="Tahoma" w:cs="Tahoma"/>
          <w:color w:val="808080"/>
          <w:sz w:val="20"/>
          <w:szCs w:val="20"/>
          <w:lang w:val="en-US"/>
        </w:rPr>
        <w:tab/>
      </w:r>
      <w:r>
        <w:rPr>
          <w:rFonts w:ascii="Tahoma" w:eastAsia="Tahoma" w:hAnsi="Tahoma" w:cs="Tahoma"/>
          <w:color w:val="808080"/>
          <w:sz w:val="20"/>
          <w:szCs w:val="20"/>
          <w:lang w:val="en-US"/>
        </w:rPr>
        <w:tab/>
        <w:t>Warsaw, 09.05.2024</w:t>
      </w:r>
    </w:p>
    <w:p w14:paraId="03F6DD07" w14:textId="77777777" w:rsidR="00D824D3" w:rsidRDefault="006F63F6">
      <w:pPr>
        <w:spacing w:line="360" w:lineRule="auto"/>
        <w:jc w:val="center"/>
        <w:rPr>
          <w:rFonts w:ascii="Tahoma" w:eastAsia="Tahoma" w:hAnsi="Tahoma" w:cs="Tahoma"/>
          <w:b/>
          <w:color w:val="FFC000"/>
        </w:rPr>
      </w:pPr>
      <w:r>
        <w:rPr>
          <w:noProof/>
        </w:rPr>
        <w:drawing>
          <wp:anchor distT="0" distB="0" distL="114300" distR="114300" simplePos="0" relativeHeight="251658240" behindDoc="0" locked="0" layoutInCell="1" allowOverlap="1" wp14:anchorId="45AFD696" wp14:editId="05C809A5">
            <wp:simplePos x="0" y="0"/>
            <wp:positionH relativeFrom="column">
              <wp:posOffset>4765040</wp:posOffset>
            </wp:positionH>
            <wp:positionV relativeFrom="paragraph">
              <wp:posOffset>27305</wp:posOffset>
            </wp:positionV>
            <wp:extent cx="290830" cy="290830"/>
            <wp:effectExtent l="0" t="0" r="0" b="0"/>
            <wp:wrapNone/>
            <wp:docPr id="38" name="image2.png"/>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0"/>
                    <a:stretch>
                      <a:fillRect/>
                    </a:stretch>
                  </pic:blipFill>
                  <pic:spPr>
                    <a:xfrm>
                      <a:off x="0" y="0"/>
                      <a:ext cx="290830" cy="290830"/>
                    </a:xfrm>
                    <a:prstGeom prst="rect">
                      <a:avLst/>
                    </a:prstGeom>
                  </pic:spPr>
                </pic:pic>
              </a:graphicData>
            </a:graphic>
          </wp:anchor>
        </w:drawing>
      </w:r>
      <w:r>
        <w:rPr>
          <w:noProof/>
        </w:rPr>
        <w:drawing>
          <wp:anchor distT="0" distB="0" distL="114300" distR="114300" simplePos="0" relativeHeight="251659264" behindDoc="0" locked="0" layoutInCell="1" allowOverlap="1" wp14:anchorId="6626A78D" wp14:editId="73F6B74B">
            <wp:simplePos x="0" y="0"/>
            <wp:positionH relativeFrom="column">
              <wp:posOffset>4370705</wp:posOffset>
            </wp:positionH>
            <wp:positionV relativeFrom="paragraph">
              <wp:posOffset>27305</wp:posOffset>
            </wp:positionV>
            <wp:extent cx="262890" cy="262890"/>
            <wp:effectExtent l="0" t="0" r="0" b="0"/>
            <wp:wrapNone/>
            <wp:docPr id="40" name="image1.png"/>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1"/>
                    <a:stretch>
                      <a:fillRect/>
                    </a:stretch>
                  </pic:blipFill>
                  <pic:spPr>
                    <a:xfrm>
                      <a:off x="0" y="0"/>
                      <a:ext cx="262890" cy="262890"/>
                    </a:xfrm>
                    <a:prstGeom prst="rect">
                      <a:avLst/>
                    </a:prstGeom>
                  </pic:spPr>
                </pic:pic>
              </a:graphicData>
            </a:graphic>
          </wp:anchor>
        </w:drawing>
      </w:r>
      <w:r>
        <w:rPr>
          <w:noProof/>
        </w:rPr>
        <w:drawing>
          <wp:anchor distT="0" distB="0" distL="114300" distR="114300" simplePos="0" relativeHeight="251660288" behindDoc="0" locked="0" layoutInCell="1" allowOverlap="1" wp14:anchorId="5AE2A7BD" wp14:editId="4449E24A">
            <wp:simplePos x="0" y="0"/>
            <wp:positionH relativeFrom="column">
              <wp:posOffset>5180965</wp:posOffset>
            </wp:positionH>
            <wp:positionV relativeFrom="paragraph">
              <wp:posOffset>41275</wp:posOffset>
            </wp:positionV>
            <wp:extent cx="248920" cy="248920"/>
            <wp:effectExtent l="0" t="0" r="0" b="0"/>
            <wp:wrapNone/>
            <wp:docPr id="39" name="image4.png"/>
            <wp:cNvGraphicFramePr/>
            <a:graphic xmlns:a="http://schemas.openxmlformats.org/drawingml/2006/main">
              <a:graphicData uri="http://schemas.openxmlformats.org/drawingml/2006/picture">
                <pic:pic xmlns:pic="http://schemas.openxmlformats.org/drawingml/2006/picture">
                  <pic:nvPicPr>
                    <pic:cNvPr id="39" name="image4.png"/>
                    <pic:cNvPicPr/>
                  </pic:nvPicPr>
                  <pic:blipFill>
                    <a:blip r:embed="rId12"/>
                    <a:stretch>
                      <a:fillRect/>
                    </a:stretch>
                  </pic:blipFill>
                  <pic:spPr>
                    <a:xfrm>
                      <a:off x="0" y="0"/>
                      <a:ext cx="248920" cy="248920"/>
                    </a:xfrm>
                    <a:prstGeom prst="rect">
                      <a:avLst/>
                    </a:prstGeom>
                  </pic:spPr>
                </pic:pic>
              </a:graphicData>
            </a:graphic>
          </wp:anchor>
        </w:drawing>
      </w:r>
    </w:p>
    <w:tbl>
      <w:tblPr>
        <w:tblStyle w:val="a8"/>
        <w:tblW w:w="10277" w:type="dxa"/>
        <w:tblInd w:w="-3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7111"/>
        <w:gridCol w:w="3166"/>
      </w:tblGrid>
      <w:tr w:rsidR="00D9163E" w:rsidRPr="007713CB" w14:paraId="1BDC9E93" w14:textId="77777777" w:rsidTr="00A96B52">
        <w:tc>
          <w:tcPr>
            <w:tcW w:w="7111" w:type="dxa"/>
          </w:tcPr>
          <w:p w14:paraId="308A0F17" w14:textId="360377CE" w:rsidR="00D824D3" w:rsidRPr="000F1142" w:rsidRDefault="006F63F6">
            <w:pPr>
              <w:spacing w:line="360" w:lineRule="auto"/>
              <w:rPr>
                <w:rFonts w:ascii="Tahoma" w:eastAsia="Tahoma" w:hAnsi="Tahoma" w:cs="Tahoma"/>
                <w:bCs/>
                <w:color w:val="7F7F7F"/>
                <w:sz w:val="24"/>
                <w:szCs w:val="24"/>
                <w:lang w:val="en-US"/>
              </w:rPr>
            </w:pPr>
            <w:r>
              <w:rPr>
                <w:rFonts w:ascii="Tahoma" w:eastAsia="Tahoma" w:hAnsi="Tahoma" w:cs="Tahoma"/>
                <w:bCs/>
                <w:color w:val="7F7F7F"/>
                <w:sz w:val="24"/>
                <w:szCs w:val="24"/>
                <w:lang w:val="en-US"/>
              </w:rPr>
              <w:t xml:space="preserve">#wynikifinansowe </w:t>
            </w:r>
          </w:p>
          <w:p w14:paraId="3B71AC03" w14:textId="77777777" w:rsidR="00D824D3" w:rsidRPr="000F1142" w:rsidRDefault="00D824D3">
            <w:pPr>
              <w:spacing w:line="360" w:lineRule="auto"/>
              <w:jc w:val="both"/>
              <w:rPr>
                <w:rFonts w:ascii="Tahoma" w:eastAsia="Tahoma" w:hAnsi="Tahoma" w:cs="Tahoma"/>
                <w:bCs/>
                <w:color w:val="7F7F7F"/>
                <w:sz w:val="24"/>
                <w:szCs w:val="24"/>
                <w:lang w:val="en-US"/>
              </w:rPr>
            </w:pPr>
          </w:p>
          <w:p w14:paraId="12E0D3F2" w14:textId="77777777" w:rsidR="00D51FBF" w:rsidRPr="000F1142" w:rsidRDefault="006F63F6" w:rsidP="00D51FBF">
            <w:pPr>
              <w:pBdr>
                <w:top w:val="nil"/>
                <w:left w:val="nil"/>
                <w:bottom w:val="nil"/>
                <w:right w:val="nil"/>
                <w:between w:val="nil"/>
              </w:pBdr>
              <w:spacing w:line="360" w:lineRule="auto"/>
              <w:jc w:val="center"/>
              <w:rPr>
                <w:rFonts w:ascii="Tahoma" w:eastAsia="Tahoma" w:hAnsi="Tahoma" w:cs="Tahoma"/>
                <w:b/>
                <w:color w:val="7F7F7F" w:themeColor="text1" w:themeTint="80"/>
                <w:lang w:val="en-US"/>
              </w:rPr>
            </w:pPr>
            <w:r>
              <w:rPr>
                <w:rFonts w:ascii="Tahoma" w:eastAsia="Tahoma" w:hAnsi="Tahoma" w:cs="Tahoma"/>
                <w:b/>
                <w:bCs/>
                <w:color w:val="7F7F7F"/>
                <w:lang w:val="en-US"/>
              </w:rPr>
              <w:t xml:space="preserve">Commentary of the President of the Management Board of Budimex SA </w:t>
            </w:r>
          </w:p>
          <w:p w14:paraId="562FB11F" w14:textId="77777777" w:rsidR="00D51FBF" w:rsidRPr="000F1142" w:rsidRDefault="006F63F6" w:rsidP="00D51FBF">
            <w:pPr>
              <w:pBdr>
                <w:top w:val="nil"/>
                <w:left w:val="nil"/>
                <w:bottom w:val="nil"/>
                <w:right w:val="nil"/>
                <w:between w:val="nil"/>
              </w:pBdr>
              <w:spacing w:line="360" w:lineRule="auto"/>
              <w:jc w:val="center"/>
              <w:rPr>
                <w:rFonts w:ascii="Tahoma" w:eastAsia="Tahoma" w:hAnsi="Tahoma" w:cs="Tahoma"/>
                <w:b/>
                <w:color w:val="7F7F7F" w:themeColor="text1" w:themeTint="80"/>
                <w:lang w:val="en-US"/>
              </w:rPr>
            </w:pPr>
            <w:r>
              <w:rPr>
                <w:rFonts w:ascii="Tahoma" w:eastAsia="Tahoma" w:hAnsi="Tahoma" w:cs="Tahoma"/>
                <w:b/>
                <w:bCs/>
                <w:color w:val="7F7F7F"/>
                <w:lang w:val="en-US"/>
              </w:rPr>
              <w:t>Artur Popko</w:t>
            </w:r>
          </w:p>
          <w:p w14:paraId="7EAAD3AA" w14:textId="77777777" w:rsidR="009A2A41" w:rsidRPr="000F1142" w:rsidRDefault="006F63F6" w:rsidP="009A2A41">
            <w:pPr>
              <w:pBdr>
                <w:top w:val="nil"/>
                <w:left w:val="nil"/>
                <w:bottom w:val="nil"/>
                <w:right w:val="nil"/>
                <w:between w:val="nil"/>
              </w:pBdr>
              <w:spacing w:line="360" w:lineRule="auto"/>
              <w:jc w:val="center"/>
              <w:rPr>
                <w:rFonts w:ascii="Tahoma" w:eastAsia="Tahoma" w:hAnsi="Tahoma" w:cs="Tahoma"/>
                <w:b/>
                <w:color w:val="FFC000"/>
                <w:lang w:val="en-US"/>
              </w:rPr>
            </w:pPr>
            <w:r>
              <w:rPr>
                <w:rFonts w:ascii="Tahoma" w:eastAsia="Tahoma" w:hAnsi="Tahoma" w:cs="Tahoma"/>
                <w:b/>
                <w:bCs/>
                <w:color w:val="FFC000"/>
                <w:lang w:val="en-US"/>
              </w:rPr>
              <w:t xml:space="preserve">to </w:t>
            </w:r>
            <w:r w:rsidRPr="000F1142">
              <w:rPr>
                <w:rFonts w:ascii="Tahoma" w:eastAsia="Tahoma" w:hAnsi="Tahoma" w:cs="Tahoma"/>
                <w:b/>
                <w:bCs/>
                <w:color w:val="FFC000"/>
                <w:lang w:val="en-GB"/>
              </w:rPr>
              <w:t>Budimex</w:t>
            </w:r>
            <w:r>
              <w:rPr>
                <w:rFonts w:ascii="Tahoma" w:eastAsia="Tahoma" w:hAnsi="Tahoma" w:cs="Tahoma"/>
                <w:b/>
                <w:bCs/>
                <w:color w:val="FFC000"/>
                <w:lang w:val="en-US"/>
              </w:rPr>
              <w:t xml:space="preserve"> Group's selected financial data </w:t>
            </w:r>
            <w:r>
              <w:rPr>
                <w:rFonts w:ascii="Tahoma" w:eastAsia="Tahoma" w:hAnsi="Tahoma" w:cs="Tahoma"/>
                <w:b/>
                <w:bCs/>
                <w:color w:val="FFC000"/>
                <w:lang w:val="en-US"/>
              </w:rPr>
              <w:br/>
              <w:t>for Q1 2024‎</w:t>
            </w:r>
          </w:p>
          <w:p w14:paraId="7A87260D" w14:textId="77777777" w:rsidR="00A9414D" w:rsidRPr="000F1142" w:rsidRDefault="00A9414D" w:rsidP="00B84905">
            <w:pPr>
              <w:pBdr>
                <w:top w:val="nil"/>
                <w:left w:val="nil"/>
                <w:bottom w:val="nil"/>
                <w:right w:val="nil"/>
                <w:between w:val="nil"/>
              </w:pBdr>
              <w:spacing w:line="360" w:lineRule="auto"/>
              <w:jc w:val="center"/>
              <w:rPr>
                <w:rFonts w:ascii="Tahoma" w:eastAsia="Tahoma" w:hAnsi="Tahoma" w:cs="Tahoma"/>
                <w:bCs/>
                <w:color w:val="FFC000"/>
                <w:lang w:val="en-US"/>
              </w:rPr>
            </w:pPr>
          </w:p>
          <w:p w14:paraId="2DCBC652" w14:textId="77777777" w:rsidR="009A2A41" w:rsidRPr="000F1142" w:rsidRDefault="006F63F6" w:rsidP="009A2A41">
            <w:pPr>
              <w:numPr>
                <w:ilvl w:val="0"/>
                <w:numId w:val="5"/>
              </w:numPr>
              <w:pBdr>
                <w:top w:val="nil"/>
                <w:left w:val="nil"/>
                <w:bottom w:val="nil"/>
                <w:right w:val="nil"/>
                <w:between w:val="nil"/>
              </w:pBdr>
              <w:spacing w:line="360" w:lineRule="auto"/>
              <w:jc w:val="both"/>
              <w:rPr>
                <w:rFonts w:ascii="Tahoma" w:eastAsia="Tahoma" w:hAnsi="Tahoma" w:cs="Tahoma"/>
                <w:bCs/>
                <w:iCs/>
                <w:color w:val="808080"/>
                <w:sz w:val="18"/>
                <w:szCs w:val="18"/>
                <w:lang w:val="en-US"/>
              </w:rPr>
            </w:pPr>
            <w:r>
              <w:rPr>
                <w:rFonts w:ascii="Tahoma" w:eastAsia="Tahoma" w:hAnsi="Tahoma" w:cs="Tahoma"/>
                <w:bCs/>
                <w:iCs/>
                <w:color w:val="808080"/>
                <w:sz w:val="18"/>
                <w:szCs w:val="18"/>
                <w:lang w:val="en-US"/>
              </w:rPr>
              <w:t xml:space="preserve">‎In Q1 2024, Budimex Group's sales revenue amounted to PLN 1,645 ‎million </w:t>
            </w:r>
            <w:r>
              <w:rPr>
                <w:rFonts w:ascii="Tahoma" w:eastAsia="Tahoma" w:hAnsi="Tahoma" w:cs="Tahoma"/>
                <w:bCs/>
                <w:iCs/>
                <w:color w:val="808080"/>
                <w:sz w:val="18"/>
                <w:szCs w:val="18"/>
                <w:lang w:val="en-US"/>
              </w:rPr>
              <w:t>(-15.2% y/y), and net profit ‎</w:t>
            </w:r>
            <w:r>
              <w:rPr>
                <w:rStyle w:val="Odwoanieprzypisudolnego"/>
                <w:rFonts w:ascii="Tahoma" w:eastAsia="Tahoma" w:hAnsi="Tahoma" w:cs="Tahoma"/>
                <w:bCs/>
                <w:iCs/>
                <w:color w:val="808080"/>
                <w:sz w:val="18"/>
                <w:szCs w:val="18"/>
              </w:rPr>
              <w:footnoteReference w:id="1"/>
            </w:r>
            <w:r>
              <w:rPr>
                <w:rFonts w:ascii="Tahoma" w:eastAsia="Tahoma" w:hAnsi="Tahoma" w:cs="Tahoma"/>
                <w:bCs/>
                <w:iCs/>
                <w:color w:val="808080"/>
                <w:sz w:val="18"/>
                <w:szCs w:val="18"/>
                <w:lang w:val="en-US"/>
              </w:rPr>
              <w:t>reached PLN 119 million, an ‎increase of PLN 13 million (+12.1%).‎‎</w:t>
            </w:r>
          </w:p>
          <w:p w14:paraId="7D840C88" w14:textId="77777777" w:rsidR="000C0857" w:rsidRPr="000F1142" w:rsidRDefault="006F63F6" w:rsidP="000C0857">
            <w:pPr>
              <w:numPr>
                <w:ilvl w:val="0"/>
                <w:numId w:val="5"/>
              </w:numPr>
              <w:pBdr>
                <w:top w:val="nil"/>
                <w:left w:val="nil"/>
                <w:bottom w:val="nil"/>
                <w:right w:val="nil"/>
                <w:between w:val="nil"/>
              </w:pBdr>
              <w:spacing w:line="360" w:lineRule="auto"/>
              <w:jc w:val="both"/>
              <w:rPr>
                <w:rFonts w:ascii="Tahoma" w:eastAsia="Tahoma" w:hAnsi="Tahoma" w:cs="Tahoma"/>
                <w:bCs/>
                <w:iCs/>
                <w:color w:val="808080"/>
                <w:sz w:val="18"/>
                <w:szCs w:val="18"/>
                <w:lang w:val="en-US"/>
              </w:rPr>
            </w:pPr>
            <w:r>
              <w:rPr>
                <w:rFonts w:ascii="Tahoma" w:eastAsia="Tahoma" w:hAnsi="Tahoma" w:cs="Tahoma"/>
                <w:bCs/>
                <w:iCs/>
                <w:color w:val="808080"/>
                <w:sz w:val="18"/>
                <w:szCs w:val="18"/>
                <w:lang w:val="en-US"/>
              </w:rPr>
              <w:t>‎The Group's operating profitability improved significantly year-on-year ‎to 7.0% (compared to 5.3% in Q1 2023), with a construction segment ‎profitability o</w:t>
            </w:r>
            <w:r>
              <w:rPr>
                <w:rFonts w:ascii="Tahoma" w:eastAsia="Tahoma" w:hAnsi="Tahoma" w:cs="Tahoma"/>
                <w:bCs/>
                <w:iCs/>
                <w:color w:val="808080"/>
                <w:sz w:val="18"/>
                <w:szCs w:val="18"/>
                <w:lang w:val="en-US"/>
              </w:rPr>
              <w:t>f 6.7%.</w:t>
            </w:r>
          </w:p>
          <w:p w14:paraId="4DE1A7F4" w14:textId="77777777" w:rsidR="004151F3" w:rsidRPr="000F1142" w:rsidRDefault="006F63F6" w:rsidP="009A2A41">
            <w:pPr>
              <w:numPr>
                <w:ilvl w:val="0"/>
                <w:numId w:val="5"/>
              </w:numPr>
              <w:pBdr>
                <w:top w:val="nil"/>
                <w:left w:val="nil"/>
                <w:bottom w:val="nil"/>
                <w:right w:val="nil"/>
                <w:between w:val="nil"/>
              </w:pBdr>
              <w:spacing w:line="360" w:lineRule="auto"/>
              <w:jc w:val="both"/>
              <w:rPr>
                <w:rFonts w:ascii="Tahoma" w:eastAsia="Tahoma" w:hAnsi="Tahoma" w:cs="Tahoma"/>
                <w:bCs/>
                <w:iCs/>
                <w:color w:val="808080"/>
                <w:sz w:val="18"/>
                <w:szCs w:val="18"/>
                <w:lang w:val="en-US"/>
              </w:rPr>
            </w:pPr>
            <w:r>
              <w:rPr>
                <w:rFonts w:ascii="Tahoma" w:eastAsia="Tahoma" w:hAnsi="Tahoma" w:cs="Tahoma"/>
                <w:bCs/>
                <w:iCs/>
                <w:color w:val="808080"/>
                <w:sz w:val="18"/>
                <w:szCs w:val="18"/>
                <w:lang w:val="en-US"/>
              </w:rPr>
              <w:t xml:space="preserve">The Group's gross profitability reached 9.4% compared to 7.4% </w:t>
            </w:r>
            <w:r>
              <w:rPr>
                <w:rFonts w:ascii="Tahoma" w:eastAsia="Tahoma" w:hAnsi="Tahoma" w:cs="Tahoma"/>
                <w:bCs/>
                <w:iCs/>
                <w:color w:val="808080"/>
                <w:sz w:val="18"/>
                <w:szCs w:val="18"/>
                <w:lang w:val="en-US"/>
              </w:rPr>
              <w:br/>
              <w:t>in Q1 2023.</w:t>
            </w:r>
          </w:p>
          <w:p w14:paraId="64F520DE" w14:textId="0483ADE6" w:rsidR="008166BC" w:rsidRPr="000F1142" w:rsidRDefault="006F63F6" w:rsidP="008230DA">
            <w:pPr>
              <w:numPr>
                <w:ilvl w:val="0"/>
                <w:numId w:val="5"/>
              </w:numPr>
              <w:pBdr>
                <w:top w:val="nil"/>
                <w:left w:val="nil"/>
                <w:bottom w:val="nil"/>
                <w:right w:val="nil"/>
                <w:between w:val="nil"/>
              </w:pBdr>
              <w:spacing w:line="360" w:lineRule="auto"/>
              <w:jc w:val="both"/>
              <w:rPr>
                <w:rFonts w:ascii="Tahoma" w:eastAsia="Tahoma" w:hAnsi="Tahoma" w:cs="Tahoma"/>
                <w:bCs/>
                <w:iCs/>
                <w:color w:val="808080"/>
                <w:sz w:val="18"/>
                <w:szCs w:val="18"/>
                <w:lang w:val="en-US"/>
              </w:rPr>
            </w:pPr>
            <w:r>
              <w:rPr>
                <w:rFonts w:ascii="Tahoma" w:eastAsia="Tahoma" w:hAnsi="Tahoma" w:cs="Tahoma"/>
                <w:bCs/>
                <w:color w:val="808080"/>
                <w:sz w:val="18"/>
                <w:szCs w:val="18"/>
                <w:lang w:val="en-US"/>
              </w:rPr>
              <w:t>Budimex Group's order book at the end of March 2024 amounted to ‎PLN 14.6 billion and secures works for the entire current year ‎and most of 2025</w:t>
            </w:r>
            <w:r w:rsidR="000F1142">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 xml:space="preserve">In addition, the value of </w:t>
            </w:r>
            <w:r>
              <w:rPr>
                <w:rFonts w:ascii="Tahoma" w:eastAsia="Tahoma" w:hAnsi="Tahoma" w:cs="Tahoma"/>
                <w:bCs/>
                <w:color w:val="808080"/>
                <w:sz w:val="18"/>
                <w:szCs w:val="18"/>
                <w:lang w:val="en-US"/>
              </w:rPr>
              <w:t>contracts waiting to be ‎signed reached PLN 10 billion.‎‎</w:t>
            </w:r>
          </w:p>
          <w:p w14:paraId="2AFACDB3" w14:textId="514C9177" w:rsidR="009A2A41" w:rsidRPr="000F1142" w:rsidRDefault="006F63F6" w:rsidP="008230DA">
            <w:pPr>
              <w:numPr>
                <w:ilvl w:val="0"/>
                <w:numId w:val="5"/>
              </w:numPr>
              <w:pBdr>
                <w:top w:val="nil"/>
                <w:left w:val="nil"/>
                <w:bottom w:val="nil"/>
                <w:right w:val="nil"/>
                <w:between w:val="nil"/>
              </w:pBdr>
              <w:spacing w:line="360" w:lineRule="auto"/>
              <w:jc w:val="both"/>
              <w:rPr>
                <w:rFonts w:ascii="Tahoma" w:eastAsia="Tahoma" w:hAnsi="Tahoma" w:cs="Tahoma"/>
                <w:bCs/>
                <w:iCs/>
                <w:color w:val="808080"/>
                <w:sz w:val="18"/>
                <w:szCs w:val="18"/>
                <w:lang w:val="en-US"/>
              </w:rPr>
            </w:pPr>
            <w:r>
              <w:rPr>
                <w:rFonts w:ascii="Tahoma" w:eastAsia="Tahoma" w:hAnsi="Tahoma" w:cs="Tahoma"/>
                <w:bCs/>
                <w:iCs/>
                <w:color w:val="808080"/>
                <w:sz w:val="18"/>
                <w:szCs w:val="18"/>
                <w:lang w:val="en-US"/>
              </w:rPr>
              <w:t>Budimex Group has consistently pursued its dividend policy, and its ‎high net cash position of PLN 3.9 billion allows to recommend the ‎payment of a dividend of PLN 911 million, that is PLN 35.69 pe</w:t>
            </w:r>
            <w:r>
              <w:rPr>
                <w:rFonts w:ascii="Tahoma" w:eastAsia="Tahoma" w:hAnsi="Tahoma" w:cs="Tahoma"/>
                <w:bCs/>
                <w:iCs/>
                <w:color w:val="808080"/>
                <w:sz w:val="18"/>
                <w:szCs w:val="18"/>
                <w:lang w:val="en-US"/>
              </w:rPr>
              <w:t>r share</w:t>
            </w:r>
            <w:r w:rsidR="000F1142">
              <w:rPr>
                <w:rFonts w:ascii="Tahoma" w:eastAsia="Tahoma" w:hAnsi="Tahoma" w:cs="Tahoma"/>
                <w:bCs/>
                <w:iCs/>
                <w:color w:val="808080"/>
                <w:sz w:val="18"/>
                <w:szCs w:val="18"/>
                <w:lang w:val="en-US"/>
              </w:rPr>
              <w:t xml:space="preserve">. </w:t>
            </w:r>
          </w:p>
          <w:p w14:paraId="72B218D3" w14:textId="77777777" w:rsidR="00C32C83" w:rsidRPr="000F1142" w:rsidRDefault="00C32C83">
            <w:pPr>
              <w:spacing w:line="360" w:lineRule="auto"/>
              <w:jc w:val="both"/>
              <w:rPr>
                <w:rFonts w:ascii="Tahoma" w:eastAsia="Tahoma" w:hAnsi="Tahoma" w:cs="Tahoma"/>
                <w:bCs/>
                <w:color w:val="747678"/>
                <w:sz w:val="18"/>
                <w:szCs w:val="18"/>
                <w:highlight w:val="yellow"/>
                <w:lang w:val="en-US"/>
              </w:rPr>
            </w:pPr>
          </w:p>
          <w:p w14:paraId="356F5DD3" w14:textId="7D84F9AB" w:rsidR="004C1457" w:rsidRPr="000F1142" w:rsidRDefault="006F63F6" w:rsidP="005B039B">
            <w:pPr>
              <w:spacing w:line="360" w:lineRule="auto"/>
              <w:jc w:val="both"/>
              <w:rPr>
                <w:rFonts w:ascii="Tahoma" w:eastAsia="Tahoma" w:hAnsi="Tahoma" w:cs="Tahoma"/>
                <w:bCs/>
                <w:color w:val="808080"/>
                <w:sz w:val="18"/>
                <w:szCs w:val="18"/>
                <w:lang w:val="en-US"/>
              </w:rPr>
            </w:pPr>
            <w:r>
              <w:rPr>
                <w:rFonts w:ascii="Tahoma" w:eastAsia="Tahoma" w:hAnsi="Tahoma" w:cs="Tahoma"/>
                <w:bCs/>
                <w:color w:val="808080"/>
                <w:sz w:val="18"/>
                <w:szCs w:val="18"/>
                <w:lang w:val="en-US"/>
              </w:rPr>
              <w:t>‎We assess the first quarter of 2024 as very good</w:t>
            </w:r>
            <w:r w:rsidR="000F1142">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 xml:space="preserve">Profitability at every level of ‎the result improved and the geographically diversified order book increased to ‎PLN 14.6 billion, securing optimal capacity utilisation and a secure outlook for </w:t>
            </w:r>
            <w:r>
              <w:rPr>
                <w:rFonts w:ascii="Tahoma" w:eastAsia="Tahoma" w:hAnsi="Tahoma" w:cs="Tahoma"/>
                <w:bCs/>
                <w:color w:val="808080"/>
                <w:sz w:val="18"/>
                <w:szCs w:val="18"/>
                <w:lang w:val="en-US"/>
              </w:rPr>
              <w:t>‎the coming quarters. A maintained high cash position will allow the Group to continue its sustainable growth, finance projects in the RES sector and ‎implement development projects under design and build formula</w:t>
            </w:r>
            <w:r w:rsidR="000F1142">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The ‎lower revenue in Q1 was a result of d</w:t>
            </w:r>
            <w:r>
              <w:rPr>
                <w:rFonts w:ascii="Tahoma" w:eastAsia="Tahoma" w:hAnsi="Tahoma" w:cs="Tahoma"/>
                <w:bCs/>
                <w:color w:val="808080"/>
                <w:sz w:val="18"/>
                <w:szCs w:val="18"/>
                <w:lang w:val="en-US"/>
              </w:rPr>
              <w:t xml:space="preserve">ifficult weather conditions in January, ‎higher than average bank holidays and the </w:t>
            </w:r>
            <w:r w:rsidR="000F1142">
              <w:rPr>
                <w:rFonts w:ascii="Tahoma" w:eastAsia="Tahoma" w:hAnsi="Tahoma" w:cs="Tahoma"/>
                <w:bCs/>
                <w:color w:val="808080"/>
                <w:sz w:val="18"/>
                <w:szCs w:val="18"/>
                <w:lang w:val="en-US"/>
              </w:rPr>
              <w:t xml:space="preserve">execution </w:t>
            </w:r>
            <w:r>
              <w:rPr>
                <w:rFonts w:ascii="Tahoma" w:eastAsia="Tahoma" w:hAnsi="Tahoma" w:cs="Tahoma"/>
                <w:bCs/>
                <w:color w:val="808080"/>
                <w:sz w:val="18"/>
                <w:szCs w:val="18"/>
                <w:lang w:val="en-US"/>
              </w:rPr>
              <w:t>of a</w:t>
            </w:r>
            <w:r w:rsidR="000F1142">
              <w:rPr>
                <w:rFonts w:ascii="Tahoma" w:eastAsia="Tahoma" w:hAnsi="Tahoma" w:cs="Tahoma"/>
                <w:bCs/>
                <w:color w:val="808080"/>
                <w:sz w:val="18"/>
                <w:szCs w:val="18"/>
                <w:lang w:val="en-US"/>
              </w:rPr>
              <w:t>n elevated</w:t>
            </w:r>
            <w:r>
              <w:rPr>
                <w:rFonts w:ascii="Tahoma" w:eastAsia="Tahoma" w:hAnsi="Tahoma" w:cs="Tahoma"/>
                <w:bCs/>
                <w:color w:val="808080"/>
                <w:sz w:val="18"/>
                <w:szCs w:val="18"/>
                <w:lang w:val="en-US"/>
              </w:rPr>
              <w:t xml:space="preserve"> ‎production </w:t>
            </w:r>
            <w:r w:rsidR="000F1142">
              <w:rPr>
                <w:rFonts w:ascii="Tahoma" w:eastAsia="Tahoma" w:hAnsi="Tahoma" w:cs="Tahoma"/>
                <w:bCs/>
                <w:color w:val="808080"/>
                <w:sz w:val="18"/>
                <w:szCs w:val="18"/>
                <w:lang w:val="en-US"/>
              </w:rPr>
              <w:t xml:space="preserve">level </w:t>
            </w:r>
            <w:r>
              <w:rPr>
                <w:rFonts w:ascii="Tahoma" w:eastAsia="Tahoma" w:hAnsi="Tahoma" w:cs="Tahoma"/>
                <w:bCs/>
                <w:color w:val="808080"/>
                <w:sz w:val="18"/>
                <w:szCs w:val="18"/>
                <w:lang w:val="en-US"/>
              </w:rPr>
              <w:t>ahead of Q4 2023.‎</w:t>
            </w:r>
          </w:p>
          <w:p w14:paraId="0C6F3535" w14:textId="77777777" w:rsidR="00C47A3A" w:rsidRPr="000F1142" w:rsidRDefault="00C47A3A" w:rsidP="005B039B">
            <w:pPr>
              <w:spacing w:line="360" w:lineRule="auto"/>
              <w:jc w:val="both"/>
              <w:rPr>
                <w:rFonts w:ascii="Tahoma" w:eastAsia="Tahoma" w:hAnsi="Tahoma" w:cs="Tahoma"/>
                <w:bCs/>
                <w:color w:val="808080"/>
                <w:sz w:val="18"/>
                <w:szCs w:val="18"/>
                <w:highlight w:val="green"/>
                <w:lang w:val="en-US"/>
              </w:rPr>
            </w:pPr>
          </w:p>
          <w:p w14:paraId="2158E5A8" w14:textId="77777777" w:rsidR="005030B7" w:rsidRPr="000F1142" w:rsidRDefault="006F63F6" w:rsidP="005B039B">
            <w:pPr>
              <w:spacing w:line="360" w:lineRule="auto"/>
              <w:jc w:val="both"/>
              <w:rPr>
                <w:rFonts w:ascii="Tahoma" w:eastAsia="Tahoma" w:hAnsi="Tahoma" w:cs="Tahoma"/>
                <w:bCs/>
                <w:color w:val="808080"/>
                <w:sz w:val="18"/>
                <w:szCs w:val="18"/>
                <w:lang w:val="en-US"/>
              </w:rPr>
            </w:pPr>
            <w:r>
              <w:rPr>
                <w:rFonts w:ascii="Tahoma" w:eastAsia="Tahoma" w:hAnsi="Tahoma" w:cs="Tahoma"/>
                <w:bCs/>
                <w:color w:val="808080"/>
                <w:sz w:val="18"/>
                <w:szCs w:val="18"/>
                <w:lang w:val="en-US"/>
              </w:rPr>
              <w:t xml:space="preserve">The Budimex Group generated an operating profit of PLN 115 million (compared ‎to PLN 102 million in Q1 2023) </w:t>
            </w:r>
            <w:r>
              <w:rPr>
                <w:rFonts w:ascii="Tahoma" w:eastAsia="Tahoma" w:hAnsi="Tahoma" w:cs="Tahoma"/>
                <w:bCs/>
                <w:color w:val="808080"/>
                <w:sz w:val="18"/>
                <w:szCs w:val="18"/>
                <w:lang w:val="en-US"/>
              </w:rPr>
              <w:t xml:space="preserve">while recording an increase in profitability from ‎‎5.3% to </w:t>
            </w:r>
            <w:r>
              <w:rPr>
                <w:rFonts w:ascii="Tahoma" w:eastAsia="Tahoma" w:hAnsi="Tahoma" w:cs="Tahoma"/>
                <w:bCs/>
                <w:color w:val="808080"/>
                <w:sz w:val="18"/>
                <w:szCs w:val="18"/>
                <w:lang w:val="en-US"/>
              </w:rPr>
              <w:lastRenderedPageBreak/>
              <w:t>7% despite a year-on-year decrease in Group revenue.</w:t>
            </w:r>
          </w:p>
          <w:p w14:paraId="6A6F28BC" w14:textId="77777777" w:rsidR="00F61211" w:rsidRPr="000F1142" w:rsidRDefault="00F61211" w:rsidP="005B039B">
            <w:pPr>
              <w:spacing w:line="360" w:lineRule="auto"/>
              <w:jc w:val="both"/>
              <w:rPr>
                <w:rFonts w:ascii="Tahoma" w:eastAsia="Tahoma" w:hAnsi="Tahoma" w:cs="Tahoma"/>
                <w:bCs/>
                <w:color w:val="808080"/>
                <w:sz w:val="18"/>
                <w:szCs w:val="18"/>
                <w:highlight w:val="yellow"/>
                <w:lang w:val="en-US"/>
              </w:rPr>
            </w:pPr>
          </w:p>
          <w:p w14:paraId="457A91CF" w14:textId="3B06B263" w:rsidR="00961726" w:rsidRPr="000F1142" w:rsidRDefault="006F63F6" w:rsidP="005B039B">
            <w:pPr>
              <w:spacing w:line="360" w:lineRule="auto"/>
              <w:jc w:val="both"/>
              <w:rPr>
                <w:rFonts w:ascii="Tahoma" w:eastAsia="Tahoma" w:hAnsi="Tahoma" w:cs="Tahoma"/>
                <w:bCs/>
                <w:color w:val="808080"/>
                <w:sz w:val="18"/>
                <w:szCs w:val="18"/>
                <w:lang w:val="en-US"/>
              </w:rPr>
            </w:pPr>
            <w:r>
              <w:rPr>
                <w:rFonts w:ascii="Tahoma" w:eastAsia="Tahoma" w:hAnsi="Tahoma" w:cs="Tahoma"/>
                <w:bCs/>
                <w:color w:val="808080"/>
                <w:sz w:val="18"/>
                <w:szCs w:val="18"/>
                <w:lang w:val="en-US"/>
              </w:rPr>
              <w:t xml:space="preserve">‎Budimex Group's gross profit reached PLN 155 million with a profitability of 9.4%  </w:t>
            </w:r>
            <w:r>
              <w:rPr>
                <w:rFonts w:ascii="Tahoma" w:eastAsia="Tahoma" w:hAnsi="Tahoma" w:cs="Tahoma"/>
                <w:bCs/>
                <w:color w:val="808080"/>
                <w:sz w:val="18"/>
                <w:szCs w:val="18"/>
                <w:lang w:val="en-US"/>
              </w:rPr>
              <w:br/>
              <w:t>compared to 7.4% in the first quarter of the previous yea</w:t>
            </w:r>
            <w:r>
              <w:rPr>
                <w:rFonts w:ascii="Tahoma" w:eastAsia="Tahoma" w:hAnsi="Tahoma" w:cs="Tahoma"/>
                <w:bCs/>
                <w:color w:val="808080"/>
                <w:sz w:val="18"/>
                <w:szCs w:val="18"/>
                <w:lang w:val="en-US"/>
              </w:rPr>
              <w:t>r</w:t>
            </w:r>
            <w:r w:rsidR="000F1142">
              <w:rPr>
                <w:rFonts w:ascii="Tahoma" w:eastAsia="Tahoma" w:hAnsi="Tahoma" w:cs="Tahoma"/>
                <w:bCs/>
                <w:color w:val="808080"/>
                <w:sz w:val="18"/>
                <w:szCs w:val="18"/>
                <w:lang w:val="en-US"/>
              </w:rPr>
              <w:t>. As</w:t>
            </w:r>
            <w:r>
              <w:rPr>
                <w:rFonts w:ascii="Tahoma" w:eastAsia="Tahoma" w:hAnsi="Tahoma" w:cs="Tahoma"/>
                <w:bCs/>
                <w:color w:val="808080"/>
                <w:sz w:val="18"/>
                <w:szCs w:val="18"/>
                <w:lang w:val="en-US"/>
              </w:rPr>
              <w:t xml:space="preserve"> in the same period of the previous year, profitability at the gross profit level ‎was supported by financial activities consisting mainly of interest earned on the ‎Group's high net cash position.‎</w:t>
            </w:r>
          </w:p>
          <w:p w14:paraId="0A38800E" w14:textId="77777777" w:rsidR="006C059D" w:rsidRPr="000F1142" w:rsidRDefault="006F63F6" w:rsidP="005B039B">
            <w:pPr>
              <w:spacing w:line="360" w:lineRule="auto"/>
              <w:jc w:val="both"/>
              <w:rPr>
                <w:rFonts w:ascii="Tahoma" w:eastAsia="Tahoma" w:hAnsi="Tahoma" w:cs="Tahoma"/>
                <w:bCs/>
                <w:color w:val="808080"/>
                <w:sz w:val="18"/>
                <w:szCs w:val="18"/>
                <w:highlight w:val="yellow"/>
                <w:lang w:val="en-US"/>
              </w:rPr>
            </w:pPr>
            <w:r w:rsidRPr="000F1142">
              <w:rPr>
                <w:rFonts w:ascii="Tahoma" w:eastAsia="Tahoma" w:hAnsi="Tahoma" w:cs="Tahoma"/>
                <w:bCs/>
                <w:color w:val="808080"/>
                <w:sz w:val="18"/>
                <w:szCs w:val="18"/>
                <w:lang w:val="en-US"/>
              </w:rPr>
              <w:t xml:space="preserve"> </w:t>
            </w:r>
            <w:r w:rsidR="00996992" w:rsidRPr="000F1142">
              <w:rPr>
                <w:rFonts w:ascii="Tahoma" w:eastAsia="Tahoma" w:hAnsi="Tahoma" w:cs="Tahoma"/>
                <w:bCs/>
                <w:color w:val="808080"/>
                <w:sz w:val="18"/>
                <w:szCs w:val="18"/>
                <w:lang w:val="en-US"/>
              </w:rPr>
              <w:t xml:space="preserve"> </w:t>
            </w:r>
            <w:r w:rsidR="00FD14F3" w:rsidRPr="000F1142">
              <w:rPr>
                <w:rFonts w:ascii="Tahoma" w:eastAsia="Tahoma" w:hAnsi="Tahoma" w:cs="Tahoma"/>
                <w:bCs/>
                <w:color w:val="808080"/>
                <w:sz w:val="18"/>
                <w:szCs w:val="18"/>
                <w:highlight w:val="yellow"/>
                <w:lang w:val="en-US"/>
              </w:rPr>
              <w:t xml:space="preserve"> </w:t>
            </w:r>
          </w:p>
          <w:tbl>
            <w:tblPr>
              <w:tblW w:w="7442" w:type="dxa"/>
              <w:tblLayout w:type="fixed"/>
              <w:tblCellMar>
                <w:left w:w="70" w:type="dxa"/>
                <w:right w:w="70" w:type="dxa"/>
              </w:tblCellMar>
              <w:tblLook w:val="04A0" w:firstRow="1" w:lastRow="0" w:firstColumn="1" w:lastColumn="0" w:noHBand="0" w:noVBand="1"/>
            </w:tblPr>
            <w:tblGrid>
              <w:gridCol w:w="2734"/>
              <w:gridCol w:w="1559"/>
              <w:gridCol w:w="1276"/>
              <w:gridCol w:w="1873"/>
            </w:tblGrid>
            <w:tr w:rsidR="00D9163E" w14:paraId="0B3BA75B" w14:textId="77777777" w:rsidTr="006C059D">
              <w:trPr>
                <w:trHeight w:val="349"/>
              </w:trPr>
              <w:tc>
                <w:tcPr>
                  <w:tcW w:w="2734" w:type="dxa"/>
                  <w:vMerge w:val="restart"/>
                  <w:tcBorders>
                    <w:top w:val="nil"/>
                    <w:left w:val="single" w:sz="4" w:space="0" w:color="000000"/>
                    <w:bottom w:val="single" w:sz="8" w:space="0" w:color="000000"/>
                    <w:right w:val="nil"/>
                  </w:tcBorders>
                  <w:shd w:val="clear" w:color="000000" w:fill="595959"/>
                  <w:vAlign w:val="center"/>
                  <w:hideMark/>
                </w:tcPr>
                <w:p w14:paraId="349541FF" w14:textId="77777777" w:rsidR="006C059D" w:rsidRPr="006C059D" w:rsidRDefault="006F63F6" w:rsidP="006C059D">
                  <w:pPr>
                    <w:spacing w:after="0" w:line="240" w:lineRule="auto"/>
                    <w:rPr>
                      <w:rFonts w:ascii="Tahoma" w:eastAsia="Times New Roman" w:hAnsi="Tahoma" w:cs="Tahoma"/>
                      <w:b/>
                      <w:bCs/>
                      <w:color w:val="F2F2F2"/>
                    </w:rPr>
                  </w:pPr>
                  <w:r>
                    <w:rPr>
                      <w:rFonts w:ascii="Tahoma" w:eastAsia="Tahoma" w:hAnsi="Tahoma" w:cs="Tahoma"/>
                      <w:b/>
                      <w:bCs/>
                      <w:color w:val="F2F2F2"/>
                      <w:lang w:val="en-US"/>
                    </w:rPr>
                    <w:t xml:space="preserve">Budimex Group </w:t>
                  </w:r>
                  <w:r>
                    <w:rPr>
                      <w:rFonts w:ascii="Tahoma" w:eastAsia="Tahoma" w:hAnsi="Tahoma" w:cs="Tahoma"/>
                      <w:b/>
                      <w:bCs/>
                      <w:color w:val="F2F2F2"/>
                      <w:lang w:val="en-US"/>
                    </w:rPr>
                    <w:br/>
                    <w:t>‎(PLN million)</w:t>
                  </w:r>
                  <w:r>
                    <w:rPr>
                      <w:rFonts w:ascii="Tahoma" w:eastAsia="Tahoma" w:hAnsi="Tahoma" w:cs="Tahoma"/>
                      <w:color w:val="F2F2F2"/>
                      <w:lang w:val="en-US"/>
                    </w:rPr>
                    <w:t>‎</w:t>
                  </w:r>
                </w:p>
              </w:tc>
              <w:tc>
                <w:tcPr>
                  <w:tcW w:w="4708" w:type="dxa"/>
                  <w:gridSpan w:val="3"/>
                  <w:tcBorders>
                    <w:top w:val="nil"/>
                    <w:left w:val="nil"/>
                    <w:bottom w:val="single" w:sz="4" w:space="0" w:color="000000"/>
                    <w:right w:val="nil"/>
                  </w:tcBorders>
                  <w:shd w:val="clear" w:color="000000" w:fill="BFBFBF"/>
                  <w:noWrap/>
                  <w:vAlign w:val="center"/>
                  <w:hideMark/>
                </w:tcPr>
                <w:p w14:paraId="5D11B438" w14:textId="77777777" w:rsidR="006C059D" w:rsidRPr="006C059D" w:rsidRDefault="006F63F6" w:rsidP="006C059D">
                  <w:pPr>
                    <w:spacing w:after="0" w:line="240" w:lineRule="auto"/>
                    <w:jc w:val="center"/>
                    <w:rPr>
                      <w:rFonts w:ascii="Tahoma" w:eastAsia="Times New Roman" w:hAnsi="Tahoma" w:cs="Tahoma"/>
                      <w:b/>
                      <w:bCs/>
                      <w:color w:val="000000"/>
                    </w:rPr>
                  </w:pPr>
                  <w:r>
                    <w:rPr>
                      <w:rFonts w:ascii="Tahoma" w:eastAsia="Tahoma" w:hAnsi="Tahoma" w:cs="Tahoma"/>
                      <w:b/>
                      <w:bCs/>
                      <w:color w:val="000000"/>
                      <w:lang w:val="en-US"/>
                    </w:rPr>
                    <w:t xml:space="preserve">Profit and loss </w:t>
                  </w:r>
                  <w:r>
                    <w:rPr>
                      <w:rFonts w:ascii="Tahoma" w:eastAsia="Tahoma" w:hAnsi="Tahoma" w:cs="Tahoma"/>
                      <w:b/>
                      <w:bCs/>
                      <w:color w:val="000000"/>
                      <w:lang w:val="en-US"/>
                    </w:rPr>
                    <w:t>account</w:t>
                  </w:r>
                </w:p>
              </w:tc>
            </w:tr>
            <w:tr w:rsidR="00D9163E" w14:paraId="3D2DA710" w14:textId="77777777" w:rsidTr="006C059D">
              <w:trPr>
                <w:trHeight w:val="540"/>
              </w:trPr>
              <w:tc>
                <w:tcPr>
                  <w:tcW w:w="2734" w:type="dxa"/>
                  <w:vMerge/>
                  <w:tcBorders>
                    <w:top w:val="nil"/>
                    <w:left w:val="single" w:sz="4" w:space="0" w:color="000000"/>
                    <w:bottom w:val="single" w:sz="8" w:space="0" w:color="000000"/>
                    <w:right w:val="nil"/>
                  </w:tcBorders>
                  <w:vAlign w:val="center"/>
                  <w:hideMark/>
                </w:tcPr>
                <w:p w14:paraId="0A900DD3" w14:textId="77777777" w:rsidR="006C059D" w:rsidRPr="006C059D" w:rsidRDefault="006C059D" w:rsidP="006C059D">
                  <w:pPr>
                    <w:spacing w:after="0" w:line="240" w:lineRule="auto"/>
                    <w:rPr>
                      <w:rFonts w:ascii="Tahoma" w:eastAsia="Times New Roman" w:hAnsi="Tahoma" w:cs="Tahoma"/>
                      <w:b/>
                      <w:bCs/>
                      <w:color w:val="F2F2F2"/>
                    </w:rPr>
                  </w:pPr>
                </w:p>
              </w:tc>
              <w:tc>
                <w:tcPr>
                  <w:tcW w:w="1559" w:type="dxa"/>
                  <w:tcBorders>
                    <w:top w:val="nil"/>
                    <w:left w:val="nil"/>
                    <w:bottom w:val="nil"/>
                    <w:right w:val="nil"/>
                  </w:tcBorders>
                  <w:shd w:val="clear" w:color="000000" w:fill="BFBFBF"/>
                  <w:vAlign w:val="center"/>
                  <w:hideMark/>
                </w:tcPr>
                <w:p w14:paraId="536F213B" w14:textId="48375074" w:rsidR="006C059D" w:rsidRPr="006C059D" w:rsidRDefault="000F1142" w:rsidP="006C059D">
                  <w:pPr>
                    <w:spacing w:after="0" w:line="240" w:lineRule="auto"/>
                    <w:jc w:val="center"/>
                    <w:rPr>
                      <w:rFonts w:ascii="Tahoma" w:eastAsia="Times New Roman" w:hAnsi="Tahoma" w:cs="Tahoma"/>
                      <w:color w:val="000000"/>
                    </w:rPr>
                  </w:pPr>
                  <w:r>
                    <w:rPr>
                      <w:rFonts w:ascii="Tahoma" w:eastAsia="Tahoma" w:hAnsi="Tahoma" w:cs="Tahoma"/>
                      <w:color w:val="000000"/>
                      <w:lang w:val="en-US"/>
                    </w:rPr>
                    <w:t>Q1 2024</w:t>
                  </w:r>
                </w:p>
              </w:tc>
              <w:tc>
                <w:tcPr>
                  <w:tcW w:w="1276" w:type="dxa"/>
                  <w:tcBorders>
                    <w:top w:val="nil"/>
                    <w:left w:val="single" w:sz="4" w:space="0" w:color="000000"/>
                    <w:bottom w:val="single" w:sz="8" w:space="0" w:color="000000"/>
                    <w:right w:val="single" w:sz="4" w:space="0" w:color="000000"/>
                  </w:tcBorders>
                  <w:shd w:val="clear" w:color="000000" w:fill="BFBFBF"/>
                  <w:vAlign w:val="center"/>
                  <w:hideMark/>
                </w:tcPr>
                <w:p w14:paraId="695ABC82" w14:textId="627C124F" w:rsidR="006C059D" w:rsidRPr="006C059D" w:rsidRDefault="000F1142" w:rsidP="006C059D">
                  <w:pPr>
                    <w:spacing w:after="0" w:line="240" w:lineRule="auto"/>
                    <w:jc w:val="center"/>
                    <w:rPr>
                      <w:rFonts w:ascii="Tahoma" w:eastAsia="Times New Roman" w:hAnsi="Tahoma" w:cs="Tahoma"/>
                      <w:color w:val="000000"/>
                    </w:rPr>
                  </w:pPr>
                  <w:r>
                    <w:rPr>
                      <w:rFonts w:ascii="Tahoma" w:eastAsia="Tahoma" w:hAnsi="Tahoma" w:cs="Tahoma"/>
                      <w:color w:val="000000"/>
                      <w:lang w:val="en-US"/>
                    </w:rPr>
                    <w:t>Q1 2023</w:t>
                  </w:r>
                </w:p>
              </w:tc>
              <w:tc>
                <w:tcPr>
                  <w:tcW w:w="1873" w:type="dxa"/>
                  <w:tcBorders>
                    <w:top w:val="nil"/>
                    <w:left w:val="nil"/>
                    <w:bottom w:val="single" w:sz="8" w:space="0" w:color="000000"/>
                    <w:right w:val="nil"/>
                  </w:tcBorders>
                  <w:shd w:val="clear" w:color="000000" w:fill="BFBFBF"/>
                  <w:noWrap/>
                  <w:vAlign w:val="center"/>
                  <w:hideMark/>
                </w:tcPr>
                <w:p w14:paraId="58FEAC87" w14:textId="77777777" w:rsidR="006C059D" w:rsidRPr="006C059D" w:rsidRDefault="006F63F6" w:rsidP="006C059D">
                  <w:pPr>
                    <w:spacing w:after="0" w:line="240" w:lineRule="auto"/>
                    <w:jc w:val="center"/>
                    <w:rPr>
                      <w:rFonts w:ascii="Tahoma" w:eastAsia="Times New Roman" w:hAnsi="Tahoma" w:cs="Tahoma"/>
                      <w:color w:val="000000"/>
                    </w:rPr>
                  </w:pPr>
                  <w:r>
                    <w:rPr>
                      <w:rFonts w:ascii="Tahoma" w:eastAsia="Tahoma" w:hAnsi="Tahoma" w:cs="Tahoma"/>
                      <w:color w:val="000000"/>
                      <w:lang w:val="en-US"/>
                    </w:rPr>
                    <w:t>y/y</w:t>
                  </w:r>
                </w:p>
              </w:tc>
            </w:tr>
            <w:tr w:rsidR="00D9163E" w14:paraId="08CA6A9E" w14:textId="77777777" w:rsidTr="006C059D">
              <w:trPr>
                <w:trHeight w:val="420"/>
              </w:trPr>
              <w:tc>
                <w:tcPr>
                  <w:tcW w:w="2734" w:type="dxa"/>
                  <w:tcBorders>
                    <w:top w:val="nil"/>
                    <w:left w:val="single" w:sz="8" w:space="0" w:color="FFC000"/>
                    <w:bottom w:val="single" w:sz="8" w:space="0" w:color="auto"/>
                    <w:right w:val="nil"/>
                  </w:tcBorders>
                  <w:shd w:val="clear" w:color="000000" w:fill="FFC000"/>
                  <w:noWrap/>
                  <w:vAlign w:val="center"/>
                  <w:hideMark/>
                </w:tcPr>
                <w:p w14:paraId="1B6ED97F" w14:textId="77777777" w:rsidR="006C059D" w:rsidRPr="006C059D" w:rsidRDefault="006F63F6" w:rsidP="006C059D">
                  <w:pPr>
                    <w:spacing w:after="0" w:line="240" w:lineRule="auto"/>
                    <w:rPr>
                      <w:rFonts w:ascii="Tahoma" w:eastAsia="Times New Roman" w:hAnsi="Tahoma" w:cs="Tahoma"/>
                      <w:b/>
                      <w:bCs/>
                      <w:color w:val="404040"/>
                    </w:rPr>
                  </w:pPr>
                  <w:r>
                    <w:rPr>
                      <w:rFonts w:ascii="Tahoma" w:eastAsia="Tahoma" w:hAnsi="Tahoma" w:cs="Tahoma"/>
                      <w:b/>
                      <w:bCs/>
                      <w:color w:val="404040"/>
                      <w:lang w:val="en-US"/>
                    </w:rPr>
                    <w:t>Sales</w:t>
                  </w:r>
                </w:p>
              </w:tc>
              <w:tc>
                <w:tcPr>
                  <w:tcW w:w="1559" w:type="dxa"/>
                  <w:tcBorders>
                    <w:top w:val="single" w:sz="8" w:space="0" w:color="000000"/>
                    <w:left w:val="nil"/>
                    <w:bottom w:val="single" w:sz="8" w:space="0" w:color="000000"/>
                    <w:right w:val="nil"/>
                  </w:tcBorders>
                  <w:shd w:val="clear" w:color="000000" w:fill="FFC000"/>
                  <w:noWrap/>
                  <w:vAlign w:val="center"/>
                  <w:hideMark/>
                </w:tcPr>
                <w:p w14:paraId="069A97F6" w14:textId="77777777" w:rsidR="006C059D" w:rsidRPr="006C059D" w:rsidRDefault="006F63F6" w:rsidP="006C059D">
                  <w:pPr>
                    <w:spacing w:after="0" w:line="240" w:lineRule="auto"/>
                    <w:rPr>
                      <w:rFonts w:ascii="Tahoma" w:eastAsia="Times New Roman" w:hAnsi="Tahoma" w:cs="Tahoma"/>
                      <w:b/>
                      <w:bCs/>
                      <w:color w:val="404040"/>
                    </w:rPr>
                  </w:pPr>
                  <w:r>
                    <w:rPr>
                      <w:rFonts w:ascii="Tahoma" w:eastAsia="Tahoma" w:hAnsi="Tahoma" w:cs="Tahoma"/>
                      <w:b/>
                      <w:bCs/>
                      <w:color w:val="404040"/>
                      <w:lang w:val="en-US"/>
                    </w:rPr>
                    <w:t>1,645</w:t>
                  </w:r>
                </w:p>
              </w:tc>
              <w:tc>
                <w:tcPr>
                  <w:tcW w:w="1276" w:type="dxa"/>
                  <w:tcBorders>
                    <w:top w:val="nil"/>
                    <w:left w:val="nil"/>
                    <w:bottom w:val="single" w:sz="8" w:space="0" w:color="000000"/>
                    <w:right w:val="nil"/>
                  </w:tcBorders>
                  <w:shd w:val="clear" w:color="000000" w:fill="FFC000"/>
                  <w:noWrap/>
                  <w:vAlign w:val="center"/>
                  <w:hideMark/>
                </w:tcPr>
                <w:p w14:paraId="73C45C08" w14:textId="77777777" w:rsidR="006C059D" w:rsidRPr="006C059D" w:rsidRDefault="006F63F6" w:rsidP="006C059D">
                  <w:pPr>
                    <w:spacing w:after="0" w:line="240" w:lineRule="auto"/>
                    <w:rPr>
                      <w:rFonts w:ascii="Tahoma" w:eastAsia="Times New Roman" w:hAnsi="Tahoma" w:cs="Tahoma"/>
                      <w:b/>
                      <w:bCs/>
                      <w:color w:val="404040"/>
                    </w:rPr>
                  </w:pPr>
                  <w:r>
                    <w:rPr>
                      <w:rFonts w:ascii="Tahoma" w:eastAsia="Tahoma" w:hAnsi="Tahoma" w:cs="Tahoma"/>
                      <w:b/>
                      <w:bCs/>
                      <w:color w:val="404040"/>
                      <w:lang w:val="en-US"/>
                    </w:rPr>
                    <w:t>1,939</w:t>
                  </w:r>
                </w:p>
              </w:tc>
              <w:tc>
                <w:tcPr>
                  <w:tcW w:w="1873" w:type="dxa"/>
                  <w:tcBorders>
                    <w:top w:val="nil"/>
                    <w:left w:val="nil"/>
                    <w:bottom w:val="single" w:sz="8" w:space="0" w:color="000000"/>
                    <w:right w:val="single" w:sz="8" w:space="0" w:color="FFC000"/>
                  </w:tcBorders>
                  <w:shd w:val="clear" w:color="000000" w:fill="FFC000"/>
                  <w:noWrap/>
                  <w:vAlign w:val="center"/>
                  <w:hideMark/>
                </w:tcPr>
                <w:p w14:paraId="4F0B8A6E" w14:textId="77777777" w:rsidR="006C059D" w:rsidRPr="006C059D" w:rsidRDefault="006F63F6" w:rsidP="006C059D">
                  <w:pPr>
                    <w:spacing w:after="0" w:line="240" w:lineRule="auto"/>
                    <w:rPr>
                      <w:rFonts w:ascii="Tahoma" w:eastAsia="Times New Roman" w:hAnsi="Tahoma" w:cs="Tahoma"/>
                      <w:b/>
                      <w:bCs/>
                      <w:color w:val="404040"/>
                    </w:rPr>
                  </w:pPr>
                  <w:r>
                    <w:rPr>
                      <w:rFonts w:ascii="Tahoma" w:eastAsia="Tahoma" w:hAnsi="Tahoma" w:cs="Tahoma"/>
                      <w:b/>
                      <w:bCs/>
                      <w:color w:val="404040"/>
                      <w:lang w:val="en-US"/>
                    </w:rPr>
                    <w:t>-15.2%</w:t>
                  </w:r>
                </w:p>
              </w:tc>
            </w:tr>
            <w:tr w:rsidR="00D9163E" w14:paraId="64CF6A41" w14:textId="77777777" w:rsidTr="006C059D">
              <w:trPr>
                <w:trHeight w:val="420"/>
              </w:trPr>
              <w:tc>
                <w:tcPr>
                  <w:tcW w:w="2734" w:type="dxa"/>
                  <w:tcBorders>
                    <w:top w:val="single" w:sz="4" w:space="0" w:color="000000"/>
                    <w:left w:val="nil"/>
                    <w:bottom w:val="nil"/>
                    <w:right w:val="nil"/>
                  </w:tcBorders>
                  <w:shd w:val="clear" w:color="000000" w:fill="F2F2F2"/>
                  <w:noWrap/>
                  <w:vAlign w:val="center"/>
                  <w:hideMark/>
                </w:tcPr>
                <w:p w14:paraId="5868DBE8" w14:textId="77777777" w:rsidR="006C059D" w:rsidRPr="006C059D" w:rsidRDefault="006F63F6" w:rsidP="006C059D">
                  <w:pPr>
                    <w:spacing w:after="0" w:line="240" w:lineRule="auto"/>
                    <w:rPr>
                      <w:rFonts w:ascii="Tahoma" w:eastAsia="Times New Roman" w:hAnsi="Tahoma" w:cs="Tahoma"/>
                      <w:b/>
                      <w:bCs/>
                      <w:color w:val="404040"/>
                    </w:rPr>
                  </w:pPr>
                  <w:r>
                    <w:rPr>
                      <w:rFonts w:ascii="Tahoma" w:eastAsia="Tahoma" w:hAnsi="Tahoma" w:cs="Tahoma"/>
                      <w:b/>
                      <w:bCs/>
                      <w:color w:val="404040"/>
                      <w:lang w:val="en-US"/>
                    </w:rPr>
                    <w:t>‎Operating profit</w:t>
                  </w:r>
                </w:p>
              </w:tc>
              <w:tc>
                <w:tcPr>
                  <w:tcW w:w="1559" w:type="dxa"/>
                  <w:tcBorders>
                    <w:top w:val="nil"/>
                    <w:left w:val="nil"/>
                    <w:bottom w:val="nil"/>
                    <w:right w:val="nil"/>
                  </w:tcBorders>
                  <w:shd w:val="clear" w:color="000000" w:fill="F2F2F2"/>
                  <w:noWrap/>
                  <w:vAlign w:val="center"/>
                  <w:hideMark/>
                </w:tcPr>
                <w:p w14:paraId="49C92913" w14:textId="77777777" w:rsidR="006C059D" w:rsidRPr="006C059D" w:rsidRDefault="006F63F6" w:rsidP="006C059D">
                  <w:pPr>
                    <w:spacing w:after="0" w:line="240" w:lineRule="auto"/>
                    <w:rPr>
                      <w:rFonts w:ascii="Tahoma" w:eastAsia="Times New Roman" w:hAnsi="Tahoma" w:cs="Tahoma"/>
                      <w:b/>
                      <w:bCs/>
                      <w:color w:val="404040"/>
                    </w:rPr>
                  </w:pPr>
                  <w:r>
                    <w:rPr>
                      <w:rFonts w:ascii="Tahoma" w:eastAsia="Tahoma" w:hAnsi="Tahoma" w:cs="Tahoma"/>
                      <w:b/>
                      <w:bCs/>
                      <w:color w:val="404040"/>
                      <w:lang w:val="en-US"/>
                    </w:rPr>
                    <w:t>115</w:t>
                  </w:r>
                </w:p>
              </w:tc>
              <w:tc>
                <w:tcPr>
                  <w:tcW w:w="1276" w:type="dxa"/>
                  <w:tcBorders>
                    <w:top w:val="nil"/>
                    <w:left w:val="nil"/>
                    <w:bottom w:val="nil"/>
                    <w:right w:val="nil"/>
                  </w:tcBorders>
                  <w:shd w:val="clear" w:color="000000" w:fill="F2F2F2"/>
                  <w:noWrap/>
                  <w:vAlign w:val="center"/>
                  <w:hideMark/>
                </w:tcPr>
                <w:p w14:paraId="453996EB" w14:textId="77777777" w:rsidR="006C059D" w:rsidRPr="006C059D" w:rsidRDefault="006F63F6" w:rsidP="006C059D">
                  <w:pPr>
                    <w:spacing w:after="0" w:line="240" w:lineRule="auto"/>
                    <w:rPr>
                      <w:rFonts w:ascii="Tahoma" w:eastAsia="Times New Roman" w:hAnsi="Tahoma" w:cs="Tahoma"/>
                      <w:b/>
                      <w:bCs/>
                      <w:color w:val="404040"/>
                    </w:rPr>
                  </w:pPr>
                  <w:r>
                    <w:rPr>
                      <w:rFonts w:ascii="Tahoma" w:eastAsia="Tahoma" w:hAnsi="Tahoma" w:cs="Tahoma"/>
                      <w:b/>
                      <w:bCs/>
                      <w:color w:val="404040"/>
                      <w:lang w:val="en-US"/>
                    </w:rPr>
                    <w:t>102</w:t>
                  </w:r>
                </w:p>
              </w:tc>
              <w:tc>
                <w:tcPr>
                  <w:tcW w:w="1873" w:type="dxa"/>
                  <w:tcBorders>
                    <w:top w:val="single" w:sz="4" w:space="0" w:color="000000"/>
                    <w:left w:val="nil"/>
                    <w:bottom w:val="nil"/>
                    <w:right w:val="nil"/>
                  </w:tcBorders>
                  <w:shd w:val="clear" w:color="000000" w:fill="F2F2F2"/>
                  <w:noWrap/>
                  <w:vAlign w:val="center"/>
                  <w:hideMark/>
                </w:tcPr>
                <w:p w14:paraId="4D5F871E" w14:textId="77777777" w:rsidR="006C059D" w:rsidRPr="006C059D" w:rsidRDefault="006F63F6" w:rsidP="006C059D">
                  <w:pPr>
                    <w:spacing w:after="0" w:line="240" w:lineRule="auto"/>
                    <w:rPr>
                      <w:rFonts w:ascii="Tahoma" w:eastAsia="Times New Roman" w:hAnsi="Tahoma" w:cs="Tahoma"/>
                      <w:b/>
                      <w:bCs/>
                      <w:color w:val="404040"/>
                    </w:rPr>
                  </w:pPr>
                  <w:r>
                    <w:rPr>
                      <w:rFonts w:ascii="Tahoma" w:eastAsia="Tahoma" w:hAnsi="Tahoma" w:cs="Tahoma"/>
                      <w:b/>
                      <w:bCs/>
                      <w:color w:val="404040"/>
                      <w:lang w:val="en-US"/>
                    </w:rPr>
                    <w:t>12.4%</w:t>
                  </w:r>
                </w:p>
              </w:tc>
            </w:tr>
            <w:tr w:rsidR="00D9163E" w14:paraId="60D0D3D6" w14:textId="77777777" w:rsidTr="006C059D">
              <w:trPr>
                <w:trHeight w:val="252"/>
              </w:trPr>
              <w:tc>
                <w:tcPr>
                  <w:tcW w:w="2734" w:type="dxa"/>
                  <w:tcBorders>
                    <w:top w:val="nil"/>
                    <w:left w:val="nil"/>
                    <w:bottom w:val="nil"/>
                    <w:right w:val="nil"/>
                  </w:tcBorders>
                  <w:shd w:val="clear" w:color="000000" w:fill="F2F2F2"/>
                  <w:noWrap/>
                  <w:vAlign w:val="center"/>
                  <w:hideMark/>
                </w:tcPr>
                <w:p w14:paraId="042C3016" w14:textId="77777777" w:rsidR="006C059D" w:rsidRPr="006C059D" w:rsidRDefault="006F63F6" w:rsidP="006C059D">
                  <w:pPr>
                    <w:spacing w:after="0" w:line="240" w:lineRule="auto"/>
                    <w:rPr>
                      <w:rFonts w:ascii="Tahoma" w:eastAsia="Times New Roman" w:hAnsi="Tahoma" w:cs="Tahoma"/>
                      <w:color w:val="404040"/>
                    </w:rPr>
                  </w:pPr>
                  <w:r>
                    <w:rPr>
                      <w:rFonts w:ascii="Tahoma" w:eastAsia="Tahoma" w:hAnsi="Tahoma" w:cs="Tahoma"/>
                      <w:color w:val="404040"/>
                      <w:lang w:val="en-US"/>
                    </w:rPr>
                    <w:t>‎‎% of sales‎‎</w:t>
                  </w:r>
                </w:p>
              </w:tc>
              <w:tc>
                <w:tcPr>
                  <w:tcW w:w="1559" w:type="dxa"/>
                  <w:tcBorders>
                    <w:top w:val="nil"/>
                    <w:left w:val="nil"/>
                    <w:bottom w:val="nil"/>
                    <w:right w:val="nil"/>
                  </w:tcBorders>
                  <w:shd w:val="clear" w:color="000000" w:fill="F2F2F2"/>
                  <w:noWrap/>
                  <w:vAlign w:val="center"/>
                  <w:hideMark/>
                </w:tcPr>
                <w:p w14:paraId="2E3D61C2" w14:textId="77777777" w:rsidR="006C059D" w:rsidRPr="006C059D" w:rsidRDefault="006F63F6" w:rsidP="006C059D">
                  <w:pPr>
                    <w:spacing w:after="0" w:line="240" w:lineRule="auto"/>
                    <w:rPr>
                      <w:rFonts w:ascii="Tahoma" w:eastAsia="Times New Roman" w:hAnsi="Tahoma" w:cs="Tahoma"/>
                      <w:color w:val="404040"/>
                    </w:rPr>
                  </w:pPr>
                  <w:r>
                    <w:rPr>
                      <w:rFonts w:ascii="Tahoma" w:eastAsia="Tahoma" w:hAnsi="Tahoma" w:cs="Tahoma"/>
                      <w:color w:val="404040"/>
                      <w:lang w:val="en-US"/>
                    </w:rPr>
                    <w:t>7.0%</w:t>
                  </w:r>
                </w:p>
              </w:tc>
              <w:tc>
                <w:tcPr>
                  <w:tcW w:w="1276" w:type="dxa"/>
                  <w:tcBorders>
                    <w:top w:val="nil"/>
                    <w:left w:val="nil"/>
                    <w:bottom w:val="nil"/>
                    <w:right w:val="nil"/>
                  </w:tcBorders>
                  <w:shd w:val="clear" w:color="000000" w:fill="F2F2F2"/>
                  <w:noWrap/>
                  <w:vAlign w:val="center"/>
                  <w:hideMark/>
                </w:tcPr>
                <w:p w14:paraId="03DC17F0" w14:textId="77777777" w:rsidR="006C059D" w:rsidRPr="006C059D" w:rsidRDefault="006F63F6" w:rsidP="006C059D">
                  <w:pPr>
                    <w:spacing w:after="0" w:line="240" w:lineRule="auto"/>
                    <w:rPr>
                      <w:rFonts w:ascii="Tahoma" w:eastAsia="Times New Roman" w:hAnsi="Tahoma" w:cs="Tahoma"/>
                      <w:color w:val="404040"/>
                    </w:rPr>
                  </w:pPr>
                  <w:r>
                    <w:rPr>
                      <w:rFonts w:ascii="Tahoma" w:eastAsia="Tahoma" w:hAnsi="Tahoma" w:cs="Tahoma"/>
                      <w:color w:val="404040"/>
                      <w:lang w:val="en-US"/>
                    </w:rPr>
                    <w:t>5.3%</w:t>
                  </w:r>
                </w:p>
              </w:tc>
              <w:tc>
                <w:tcPr>
                  <w:tcW w:w="1873" w:type="dxa"/>
                  <w:tcBorders>
                    <w:top w:val="nil"/>
                    <w:left w:val="nil"/>
                    <w:bottom w:val="nil"/>
                    <w:right w:val="nil"/>
                  </w:tcBorders>
                  <w:shd w:val="clear" w:color="000000" w:fill="F2F2F2"/>
                  <w:noWrap/>
                  <w:vAlign w:val="center"/>
                  <w:hideMark/>
                </w:tcPr>
                <w:p w14:paraId="2D8EF81A" w14:textId="77777777" w:rsidR="006C059D" w:rsidRPr="006C059D" w:rsidRDefault="006F63F6" w:rsidP="006C059D">
                  <w:pPr>
                    <w:spacing w:after="0" w:line="240" w:lineRule="auto"/>
                    <w:rPr>
                      <w:rFonts w:ascii="Tahoma" w:eastAsia="Times New Roman" w:hAnsi="Tahoma" w:cs="Tahoma"/>
                      <w:color w:val="404040"/>
                    </w:rPr>
                  </w:pPr>
                  <w:r>
                    <w:rPr>
                      <w:rFonts w:ascii="Tahoma" w:eastAsia="Tahoma" w:hAnsi="Tahoma" w:cs="Tahoma"/>
                      <w:color w:val="404040"/>
                      <w:lang w:val="en-US"/>
                    </w:rPr>
                    <w:t>1.7% pp.</w:t>
                  </w:r>
                </w:p>
              </w:tc>
            </w:tr>
            <w:tr w:rsidR="00D9163E" w14:paraId="370AD9E4" w14:textId="77777777" w:rsidTr="006C059D">
              <w:trPr>
                <w:trHeight w:val="420"/>
              </w:trPr>
              <w:tc>
                <w:tcPr>
                  <w:tcW w:w="2734" w:type="dxa"/>
                  <w:tcBorders>
                    <w:top w:val="single" w:sz="4" w:space="0" w:color="000000"/>
                    <w:left w:val="nil"/>
                    <w:bottom w:val="nil"/>
                    <w:right w:val="nil"/>
                  </w:tcBorders>
                  <w:shd w:val="clear" w:color="000000" w:fill="F2F2F2"/>
                  <w:noWrap/>
                  <w:vAlign w:val="center"/>
                  <w:hideMark/>
                </w:tcPr>
                <w:p w14:paraId="465BA324" w14:textId="77777777" w:rsidR="006C059D" w:rsidRPr="006C059D" w:rsidRDefault="006F63F6" w:rsidP="006C059D">
                  <w:pPr>
                    <w:spacing w:after="0" w:line="240" w:lineRule="auto"/>
                    <w:rPr>
                      <w:rFonts w:ascii="Tahoma" w:eastAsia="Times New Roman" w:hAnsi="Tahoma" w:cs="Tahoma"/>
                      <w:b/>
                      <w:bCs/>
                      <w:color w:val="404040"/>
                    </w:rPr>
                  </w:pPr>
                  <w:r>
                    <w:rPr>
                      <w:rFonts w:ascii="Tahoma" w:eastAsia="Tahoma" w:hAnsi="Tahoma" w:cs="Tahoma"/>
                      <w:b/>
                      <w:bCs/>
                      <w:color w:val="404040"/>
                      <w:lang w:val="en-US"/>
                    </w:rPr>
                    <w:t>Gross profit</w:t>
                  </w:r>
                </w:p>
              </w:tc>
              <w:tc>
                <w:tcPr>
                  <w:tcW w:w="1559" w:type="dxa"/>
                  <w:tcBorders>
                    <w:top w:val="single" w:sz="4" w:space="0" w:color="000000"/>
                    <w:left w:val="nil"/>
                    <w:bottom w:val="nil"/>
                    <w:right w:val="nil"/>
                  </w:tcBorders>
                  <w:shd w:val="clear" w:color="000000" w:fill="F2F2F2"/>
                  <w:noWrap/>
                  <w:vAlign w:val="center"/>
                  <w:hideMark/>
                </w:tcPr>
                <w:p w14:paraId="448E7338" w14:textId="77777777" w:rsidR="006C059D" w:rsidRPr="006C059D" w:rsidRDefault="006F63F6" w:rsidP="006C059D">
                  <w:pPr>
                    <w:spacing w:after="0" w:line="240" w:lineRule="auto"/>
                    <w:rPr>
                      <w:rFonts w:ascii="Tahoma" w:eastAsia="Times New Roman" w:hAnsi="Tahoma" w:cs="Tahoma"/>
                      <w:b/>
                      <w:bCs/>
                      <w:color w:val="404040"/>
                    </w:rPr>
                  </w:pPr>
                  <w:r>
                    <w:rPr>
                      <w:rFonts w:ascii="Tahoma" w:eastAsia="Tahoma" w:hAnsi="Tahoma" w:cs="Tahoma"/>
                      <w:b/>
                      <w:bCs/>
                      <w:color w:val="404040"/>
                      <w:lang w:val="en-US"/>
                    </w:rPr>
                    <w:t>155</w:t>
                  </w:r>
                </w:p>
              </w:tc>
              <w:tc>
                <w:tcPr>
                  <w:tcW w:w="1276" w:type="dxa"/>
                  <w:tcBorders>
                    <w:top w:val="single" w:sz="4" w:space="0" w:color="000000"/>
                    <w:left w:val="nil"/>
                    <w:bottom w:val="nil"/>
                    <w:right w:val="nil"/>
                  </w:tcBorders>
                  <w:shd w:val="clear" w:color="000000" w:fill="F2F2F2"/>
                  <w:noWrap/>
                  <w:vAlign w:val="center"/>
                  <w:hideMark/>
                </w:tcPr>
                <w:p w14:paraId="27E70EB3" w14:textId="77777777" w:rsidR="006C059D" w:rsidRPr="006C059D" w:rsidRDefault="006F63F6" w:rsidP="006C059D">
                  <w:pPr>
                    <w:spacing w:after="0" w:line="240" w:lineRule="auto"/>
                    <w:rPr>
                      <w:rFonts w:ascii="Tahoma" w:eastAsia="Times New Roman" w:hAnsi="Tahoma" w:cs="Tahoma"/>
                      <w:b/>
                      <w:bCs/>
                      <w:color w:val="404040"/>
                    </w:rPr>
                  </w:pPr>
                  <w:r>
                    <w:rPr>
                      <w:rFonts w:ascii="Tahoma" w:eastAsia="Tahoma" w:hAnsi="Tahoma" w:cs="Tahoma"/>
                      <w:b/>
                      <w:bCs/>
                      <w:color w:val="404040"/>
                      <w:lang w:val="en-US"/>
                    </w:rPr>
                    <w:t>143</w:t>
                  </w:r>
                </w:p>
              </w:tc>
              <w:tc>
                <w:tcPr>
                  <w:tcW w:w="1873" w:type="dxa"/>
                  <w:tcBorders>
                    <w:top w:val="single" w:sz="4" w:space="0" w:color="000000"/>
                    <w:left w:val="nil"/>
                    <w:bottom w:val="nil"/>
                    <w:right w:val="nil"/>
                  </w:tcBorders>
                  <w:shd w:val="clear" w:color="000000" w:fill="F2F2F2"/>
                  <w:noWrap/>
                  <w:vAlign w:val="center"/>
                  <w:hideMark/>
                </w:tcPr>
                <w:p w14:paraId="662BBD52" w14:textId="77777777" w:rsidR="006C059D" w:rsidRPr="006C059D" w:rsidRDefault="006F63F6" w:rsidP="006C059D">
                  <w:pPr>
                    <w:spacing w:after="0" w:line="240" w:lineRule="auto"/>
                    <w:rPr>
                      <w:rFonts w:ascii="Tahoma" w:eastAsia="Times New Roman" w:hAnsi="Tahoma" w:cs="Tahoma"/>
                      <w:b/>
                      <w:bCs/>
                      <w:color w:val="404040"/>
                    </w:rPr>
                  </w:pPr>
                  <w:r>
                    <w:rPr>
                      <w:rFonts w:ascii="Tahoma" w:eastAsia="Tahoma" w:hAnsi="Tahoma" w:cs="Tahoma"/>
                      <w:b/>
                      <w:bCs/>
                      <w:color w:val="404040"/>
                      <w:lang w:val="en-US"/>
                    </w:rPr>
                    <w:t>8.4%</w:t>
                  </w:r>
                </w:p>
              </w:tc>
            </w:tr>
            <w:tr w:rsidR="00D9163E" w14:paraId="45C3E47F" w14:textId="77777777" w:rsidTr="006C059D">
              <w:trPr>
                <w:trHeight w:val="252"/>
              </w:trPr>
              <w:tc>
                <w:tcPr>
                  <w:tcW w:w="2734" w:type="dxa"/>
                  <w:tcBorders>
                    <w:top w:val="nil"/>
                    <w:left w:val="nil"/>
                    <w:bottom w:val="nil"/>
                    <w:right w:val="nil"/>
                  </w:tcBorders>
                  <w:shd w:val="clear" w:color="000000" w:fill="F2F2F2"/>
                  <w:noWrap/>
                  <w:vAlign w:val="center"/>
                  <w:hideMark/>
                </w:tcPr>
                <w:p w14:paraId="3655D745" w14:textId="77777777" w:rsidR="006C059D" w:rsidRPr="006C059D" w:rsidRDefault="006F63F6" w:rsidP="006C059D">
                  <w:pPr>
                    <w:spacing w:after="0" w:line="240" w:lineRule="auto"/>
                    <w:rPr>
                      <w:rFonts w:ascii="Tahoma" w:eastAsia="Times New Roman" w:hAnsi="Tahoma" w:cs="Tahoma"/>
                      <w:color w:val="404040"/>
                    </w:rPr>
                  </w:pPr>
                  <w:r>
                    <w:rPr>
                      <w:rFonts w:ascii="Tahoma" w:eastAsia="Tahoma" w:hAnsi="Tahoma" w:cs="Tahoma"/>
                      <w:color w:val="404040"/>
                      <w:lang w:val="en-US"/>
                    </w:rPr>
                    <w:t>‎‎% of sales‎‎</w:t>
                  </w:r>
                </w:p>
              </w:tc>
              <w:tc>
                <w:tcPr>
                  <w:tcW w:w="1559" w:type="dxa"/>
                  <w:tcBorders>
                    <w:top w:val="nil"/>
                    <w:left w:val="nil"/>
                    <w:bottom w:val="nil"/>
                    <w:right w:val="nil"/>
                  </w:tcBorders>
                  <w:shd w:val="clear" w:color="000000" w:fill="F2F2F2"/>
                  <w:noWrap/>
                  <w:vAlign w:val="center"/>
                  <w:hideMark/>
                </w:tcPr>
                <w:p w14:paraId="16304AEF" w14:textId="77777777" w:rsidR="006C059D" w:rsidRPr="006C059D" w:rsidRDefault="006F63F6" w:rsidP="006C059D">
                  <w:pPr>
                    <w:spacing w:after="0" w:line="240" w:lineRule="auto"/>
                    <w:rPr>
                      <w:rFonts w:ascii="Tahoma" w:eastAsia="Times New Roman" w:hAnsi="Tahoma" w:cs="Tahoma"/>
                      <w:color w:val="404040"/>
                    </w:rPr>
                  </w:pPr>
                  <w:r>
                    <w:rPr>
                      <w:rFonts w:ascii="Tahoma" w:eastAsia="Tahoma" w:hAnsi="Tahoma" w:cs="Tahoma"/>
                      <w:color w:val="404040"/>
                      <w:lang w:val="en-US"/>
                    </w:rPr>
                    <w:t>9.4%</w:t>
                  </w:r>
                </w:p>
              </w:tc>
              <w:tc>
                <w:tcPr>
                  <w:tcW w:w="1276" w:type="dxa"/>
                  <w:tcBorders>
                    <w:top w:val="nil"/>
                    <w:left w:val="nil"/>
                    <w:bottom w:val="nil"/>
                    <w:right w:val="nil"/>
                  </w:tcBorders>
                  <w:shd w:val="clear" w:color="000000" w:fill="F2F2F2"/>
                  <w:noWrap/>
                  <w:vAlign w:val="center"/>
                  <w:hideMark/>
                </w:tcPr>
                <w:p w14:paraId="55B776A2" w14:textId="77777777" w:rsidR="006C059D" w:rsidRPr="006C059D" w:rsidRDefault="006F63F6" w:rsidP="006C059D">
                  <w:pPr>
                    <w:spacing w:after="0" w:line="240" w:lineRule="auto"/>
                    <w:rPr>
                      <w:rFonts w:ascii="Tahoma" w:eastAsia="Times New Roman" w:hAnsi="Tahoma" w:cs="Tahoma"/>
                      <w:color w:val="404040"/>
                    </w:rPr>
                  </w:pPr>
                  <w:r>
                    <w:rPr>
                      <w:rFonts w:ascii="Tahoma" w:eastAsia="Tahoma" w:hAnsi="Tahoma" w:cs="Tahoma"/>
                      <w:color w:val="404040"/>
                      <w:lang w:val="en-US"/>
                    </w:rPr>
                    <w:t>7.4%</w:t>
                  </w:r>
                </w:p>
              </w:tc>
              <w:tc>
                <w:tcPr>
                  <w:tcW w:w="1873" w:type="dxa"/>
                  <w:tcBorders>
                    <w:top w:val="nil"/>
                    <w:left w:val="nil"/>
                    <w:bottom w:val="nil"/>
                    <w:right w:val="nil"/>
                  </w:tcBorders>
                  <w:shd w:val="clear" w:color="000000" w:fill="F2F2F2"/>
                  <w:noWrap/>
                  <w:vAlign w:val="center"/>
                  <w:hideMark/>
                </w:tcPr>
                <w:p w14:paraId="7A4F0D73" w14:textId="77777777" w:rsidR="006C059D" w:rsidRPr="006C059D" w:rsidRDefault="006F63F6" w:rsidP="006C059D">
                  <w:pPr>
                    <w:spacing w:after="0" w:line="240" w:lineRule="auto"/>
                    <w:rPr>
                      <w:rFonts w:ascii="Tahoma" w:eastAsia="Times New Roman" w:hAnsi="Tahoma" w:cs="Tahoma"/>
                      <w:color w:val="404040"/>
                    </w:rPr>
                  </w:pPr>
                  <w:r>
                    <w:rPr>
                      <w:rFonts w:ascii="Tahoma" w:eastAsia="Tahoma" w:hAnsi="Tahoma" w:cs="Tahoma"/>
                      <w:color w:val="404040"/>
                      <w:lang w:val="en-US"/>
                    </w:rPr>
                    <w:t>2.0% pp.</w:t>
                  </w:r>
                </w:p>
              </w:tc>
            </w:tr>
            <w:tr w:rsidR="00D9163E" w14:paraId="68076D53" w14:textId="77777777" w:rsidTr="006C059D">
              <w:trPr>
                <w:trHeight w:val="525"/>
              </w:trPr>
              <w:tc>
                <w:tcPr>
                  <w:tcW w:w="2734" w:type="dxa"/>
                  <w:tcBorders>
                    <w:top w:val="single" w:sz="4" w:space="0" w:color="000000"/>
                    <w:left w:val="nil"/>
                    <w:bottom w:val="nil"/>
                    <w:right w:val="nil"/>
                  </w:tcBorders>
                  <w:shd w:val="clear" w:color="000000" w:fill="F2F2F2"/>
                  <w:vAlign w:val="center"/>
                  <w:hideMark/>
                </w:tcPr>
                <w:p w14:paraId="0721AF63" w14:textId="77777777" w:rsidR="006C059D" w:rsidRPr="000F1142" w:rsidRDefault="006F63F6" w:rsidP="006C059D">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 xml:space="preserve">Net profit* </w:t>
                  </w:r>
                  <w:r>
                    <w:rPr>
                      <w:rFonts w:ascii="Tahoma" w:eastAsia="Tahoma" w:hAnsi="Tahoma" w:cs="Tahoma"/>
                      <w:b/>
                      <w:bCs/>
                      <w:color w:val="404040"/>
                      <w:lang w:val="en-US"/>
                    </w:rPr>
                    <w:br/>
                  </w:r>
                  <w:r>
                    <w:rPr>
                      <w:rFonts w:ascii="Tahoma" w:eastAsia="Tahoma" w:hAnsi="Tahoma" w:cs="Tahoma"/>
                      <w:color w:val="404040"/>
                      <w:sz w:val="16"/>
                      <w:szCs w:val="16"/>
                      <w:lang w:val="en-US"/>
                    </w:rPr>
                    <w:t>from continuing operations</w:t>
                  </w:r>
                </w:p>
              </w:tc>
              <w:tc>
                <w:tcPr>
                  <w:tcW w:w="1559" w:type="dxa"/>
                  <w:tcBorders>
                    <w:top w:val="single" w:sz="4" w:space="0" w:color="000000"/>
                    <w:left w:val="nil"/>
                    <w:bottom w:val="nil"/>
                    <w:right w:val="nil"/>
                  </w:tcBorders>
                  <w:shd w:val="clear" w:color="000000" w:fill="F2F2F2"/>
                  <w:noWrap/>
                  <w:vAlign w:val="center"/>
                  <w:hideMark/>
                </w:tcPr>
                <w:p w14:paraId="325214E0" w14:textId="77777777" w:rsidR="006C059D" w:rsidRPr="006C059D" w:rsidRDefault="006F63F6" w:rsidP="006C059D">
                  <w:pPr>
                    <w:spacing w:after="0" w:line="240" w:lineRule="auto"/>
                    <w:rPr>
                      <w:rFonts w:ascii="Tahoma" w:eastAsia="Times New Roman" w:hAnsi="Tahoma" w:cs="Tahoma"/>
                      <w:b/>
                      <w:bCs/>
                      <w:color w:val="404040"/>
                    </w:rPr>
                  </w:pPr>
                  <w:r>
                    <w:rPr>
                      <w:rFonts w:ascii="Tahoma" w:eastAsia="Tahoma" w:hAnsi="Tahoma" w:cs="Tahoma"/>
                      <w:b/>
                      <w:bCs/>
                      <w:color w:val="404040"/>
                      <w:lang w:val="en-US"/>
                    </w:rPr>
                    <w:t>119</w:t>
                  </w:r>
                </w:p>
              </w:tc>
              <w:tc>
                <w:tcPr>
                  <w:tcW w:w="1276" w:type="dxa"/>
                  <w:tcBorders>
                    <w:top w:val="single" w:sz="4" w:space="0" w:color="000000"/>
                    <w:left w:val="nil"/>
                    <w:bottom w:val="nil"/>
                    <w:right w:val="nil"/>
                  </w:tcBorders>
                  <w:shd w:val="clear" w:color="000000" w:fill="F2F2F2"/>
                  <w:noWrap/>
                  <w:vAlign w:val="center"/>
                  <w:hideMark/>
                </w:tcPr>
                <w:p w14:paraId="11F799CA" w14:textId="77777777" w:rsidR="006C059D" w:rsidRPr="006C059D" w:rsidRDefault="006F63F6" w:rsidP="006C059D">
                  <w:pPr>
                    <w:spacing w:after="0" w:line="240" w:lineRule="auto"/>
                    <w:rPr>
                      <w:rFonts w:ascii="Tahoma" w:eastAsia="Times New Roman" w:hAnsi="Tahoma" w:cs="Tahoma"/>
                      <w:b/>
                      <w:bCs/>
                      <w:color w:val="404040"/>
                    </w:rPr>
                  </w:pPr>
                  <w:r>
                    <w:rPr>
                      <w:rFonts w:ascii="Tahoma" w:eastAsia="Tahoma" w:hAnsi="Tahoma" w:cs="Tahoma"/>
                      <w:b/>
                      <w:bCs/>
                      <w:color w:val="404040"/>
                      <w:lang w:val="en-US"/>
                    </w:rPr>
                    <w:t>106</w:t>
                  </w:r>
                </w:p>
              </w:tc>
              <w:tc>
                <w:tcPr>
                  <w:tcW w:w="1873" w:type="dxa"/>
                  <w:tcBorders>
                    <w:top w:val="single" w:sz="4" w:space="0" w:color="000000"/>
                    <w:left w:val="nil"/>
                    <w:bottom w:val="nil"/>
                    <w:right w:val="nil"/>
                  </w:tcBorders>
                  <w:shd w:val="clear" w:color="000000" w:fill="F2F2F2"/>
                  <w:noWrap/>
                  <w:vAlign w:val="center"/>
                  <w:hideMark/>
                </w:tcPr>
                <w:p w14:paraId="62D387A3" w14:textId="77777777" w:rsidR="006C059D" w:rsidRPr="006C059D" w:rsidRDefault="006F63F6" w:rsidP="006C059D">
                  <w:pPr>
                    <w:spacing w:after="0" w:line="240" w:lineRule="auto"/>
                    <w:rPr>
                      <w:rFonts w:ascii="Tahoma" w:eastAsia="Times New Roman" w:hAnsi="Tahoma" w:cs="Tahoma"/>
                      <w:b/>
                      <w:bCs/>
                      <w:color w:val="404040"/>
                    </w:rPr>
                  </w:pPr>
                  <w:r>
                    <w:rPr>
                      <w:rFonts w:ascii="Tahoma" w:eastAsia="Tahoma" w:hAnsi="Tahoma" w:cs="Tahoma"/>
                      <w:b/>
                      <w:bCs/>
                      <w:color w:val="404040"/>
                      <w:lang w:val="en-US"/>
                    </w:rPr>
                    <w:t>12.1%</w:t>
                  </w:r>
                </w:p>
              </w:tc>
            </w:tr>
            <w:tr w:rsidR="00D9163E" w14:paraId="3F96BFCD" w14:textId="77777777" w:rsidTr="006C059D">
              <w:trPr>
                <w:trHeight w:val="252"/>
              </w:trPr>
              <w:tc>
                <w:tcPr>
                  <w:tcW w:w="2734" w:type="dxa"/>
                  <w:tcBorders>
                    <w:top w:val="nil"/>
                    <w:left w:val="nil"/>
                    <w:bottom w:val="nil"/>
                    <w:right w:val="nil"/>
                  </w:tcBorders>
                  <w:shd w:val="clear" w:color="000000" w:fill="F2F2F2"/>
                  <w:noWrap/>
                  <w:vAlign w:val="center"/>
                  <w:hideMark/>
                </w:tcPr>
                <w:p w14:paraId="7FFA05AE" w14:textId="77777777" w:rsidR="006C059D" w:rsidRPr="006C059D" w:rsidRDefault="006F63F6" w:rsidP="006C059D">
                  <w:pPr>
                    <w:spacing w:after="0" w:line="240" w:lineRule="auto"/>
                    <w:rPr>
                      <w:rFonts w:ascii="Tahoma" w:eastAsia="Times New Roman" w:hAnsi="Tahoma" w:cs="Tahoma"/>
                      <w:color w:val="404040"/>
                    </w:rPr>
                  </w:pPr>
                  <w:r>
                    <w:rPr>
                      <w:rFonts w:ascii="Tahoma" w:eastAsia="Tahoma" w:hAnsi="Tahoma" w:cs="Tahoma"/>
                      <w:color w:val="404040"/>
                      <w:lang w:val="en-US"/>
                    </w:rPr>
                    <w:t>‎‎% of sales‎‎</w:t>
                  </w:r>
                </w:p>
              </w:tc>
              <w:tc>
                <w:tcPr>
                  <w:tcW w:w="1559" w:type="dxa"/>
                  <w:tcBorders>
                    <w:top w:val="nil"/>
                    <w:left w:val="nil"/>
                    <w:bottom w:val="nil"/>
                    <w:right w:val="nil"/>
                  </w:tcBorders>
                  <w:shd w:val="clear" w:color="000000" w:fill="F2F2F2"/>
                  <w:noWrap/>
                  <w:vAlign w:val="center"/>
                  <w:hideMark/>
                </w:tcPr>
                <w:p w14:paraId="35B8E012" w14:textId="77777777" w:rsidR="006C059D" w:rsidRPr="006C059D" w:rsidRDefault="006F63F6" w:rsidP="006C059D">
                  <w:pPr>
                    <w:spacing w:after="0" w:line="240" w:lineRule="auto"/>
                    <w:rPr>
                      <w:rFonts w:ascii="Tahoma" w:eastAsia="Times New Roman" w:hAnsi="Tahoma" w:cs="Tahoma"/>
                      <w:color w:val="404040"/>
                    </w:rPr>
                  </w:pPr>
                  <w:r>
                    <w:rPr>
                      <w:rFonts w:ascii="Tahoma" w:eastAsia="Tahoma" w:hAnsi="Tahoma" w:cs="Tahoma"/>
                      <w:color w:val="404040"/>
                      <w:lang w:val="en-US"/>
                    </w:rPr>
                    <w:t>7.2%</w:t>
                  </w:r>
                </w:p>
              </w:tc>
              <w:tc>
                <w:tcPr>
                  <w:tcW w:w="1276" w:type="dxa"/>
                  <w:tcBorders>
                    <w:top w:val="nil"/>
                    <w:left w:val="nil"/>
                    <w:bottom w:val="nil"/>
                    <w:right w:val="nil"/>
                  </w:tcBorders>
                  <w:shd w:val="clear" w:color="000000" w:fill="F2F2F2"/>
                  <w:noWrap/>
                  <w:vAlign w:val="center"/>
                  <w:hideMark/>
                </w:tcPr>
                <w:p w14:paraId="1078CFC2" w14:textId="77777777" w:rsidR="006C059D" w:rsidRPr="006C059D" w:rsidRDefault="006F63F6" w:rsidP="006C059D">
                  <w:pPr>
                    <w:spacing w:after="0" w:line="240" w:lineRule="auto"/>
                    <w:rPr>
                      <w:rFonts w:ascii="Tahoma" w:eastAsia="Times New Roman" w:hAnsi="Tahoma" w:cs="Tahoma"/>
                      <w:color w:val="404040"/>
                    </w:rPr>
                  </w:pPr>
                  <w:r>
                    <w:rPr>
                      <w:rFonts w:ascii="Tahoma" w:eastAsia="Tahoma" w:hAnsi="Tahoma" w:cs="Tahoma"/>
                      <w:color w:val="404040"/>
                      <w:lang w:val="en-US"/>
                    </w:rPr>
                    <w:t>5.5%</w:t>
                  </w:r>
                </w:p>
              </w:tc>
              <w:tc>
                <w:tcPr>
                  <w:tcW w:w="1873" w:type="dxa"/>
                  <w:tcBorders>
                    <w:top w:val="nil"/>
                    <w:left w:val="nil"/>
                    <w:bottom w:val="nil"/>
                    <w:right w:val="nil"/>
                  </w:tcBorders>
                  <w:shd w:val="clear" w:color="000000" w:fill="F2F2F2"/>
                  <w:noWrap/>
                  <w:vAlign w:val="center"/>
                  <w:hideMark/>
                </w:tcPr>
                <w:p w14:paraId="05C70851" w14:textId="77777777" w:rsidR="006C059D" w:rsidRPr="006C059D" w:rsidRDefault="006F63F6" w:rsidP="006C059D">
                  <w:pPr>
                    <w:spacing w:after="0" w:line="240" w:lineRule="auto"/>
                    <w:rPr>
                      <w:rFonts w:ascii="Tahoma" w:eastAsia="Times New Roman" w:hAnsi="Tahoma" w:cs="Tahoma"/>
                      <w:color w:val="404040"/>
                    </w:rPr>
                  </w:pPr>
                  <w:r>
                    <w:rPr>
                      <w:rFonts w:ascii="Tahoma" w:eastAsia="Tahoma" w:hAnsi="Tahoma" w:cs="Tahoma"/>
                      <w:color w:val="404040"/>
                      <w:lang w:val="en-US"/>
                    </w:rPr>
                    <w:t>1.7% pp.</w:t>
                  </w:r>
                </w:p>
              </w:tc>
            </w:tr>
            <w:tr w:rsidR="00D9163E" w:rsidRPr="007713CB" w14:paraId="3CE977BD" w14:textId="77777777" w:rsidTr="006C059D">
              <w:trPr>
                <w:trHeight w:val="255"/>
              </w:trPr>
              <w:tc>
                <w:tcPr>
                  <w:tcW w:w="2734" w:type="dxa"/>
                  <w:tcBorders>
                    <w:top w:val="single" w:sz="4" w:space="0" w:color="000000"/>
                    <w:left w:val="single" w:sz="4" w:space="0" w:color="FFFFFF"/>
                    <w:bottom w:val="nil"/>
                    <w:right w:val="single" w:sz="4" w:space="0" w:color="FFFFFF"/>
                  </w:tcBorders>
                  <w:shd w:val="clear" w:color="auto" w:fill="auto"/>
                  <w:noWrap/>
                  <w:hideMark/>
                </w:tcPr>
                <w:p w14:paraId="1548F40A" w14:textId="77777777" w:rsidR="006C059D" w:rsidRPr="000F1142" w:rsidRDefault="006F63F6" w:rsidP="006C059D">
                  <w:pPr>
                    <w:spacing w:after="0" w:line="240" w:lineRule="auto"/>
                    <w:rPr>
                      <w:rFonts w:ascii="Tahoma" w:eastAsia="Times New Roman" w:hAnsi="Tahoma" w:cs="Tahoma"/>
                      <w:i/>
                      <w:iCs/>
                      <w:color w:val="404040"/>
                      <w:sz w:val="14"/>
                      <w:szCs w:val="14"/>
                      <w:lang w:val="en-US"/>
                    </w:rPr>
                  </w:pPr>
                  <w:r>
                    <w:rPr>
                      <w:rFonts w:ascii="Tahoma" w:eastAsia="Tahoma" w:hAnsi="Tahoma" w:cs="Tahoma"/>
                      <w:iCs/>
                      <w:color w:val="404040"/>
                      <w:sz w:val="14"/>
                      <w:szCs w:val="14"/>
                      <w:lang w:val="en-US"/>
                    </w:rPr>
                    <w:t xml:space="preserve">‎*attributable to shareholders of the Parent ‎Company.‎‎ </w:t>
                  </w:r>
                </w:p>
              </w:tc>
              <w:tc>
                <w:tcPr>
                  <w:tcW w:w="1559" w:type="dxa"/>
                  <w:tcBorders>
                    <w:top w:val="single" w:sz="4" w:space="0" w:color="000000"/>
                    <w:left w:val="nil"/>
                    <w:bottom w:val="nil"/>
                    <w:right w:val="single" w:sz="4" w:space="0" w:color="FFFFFF"/>
                  </w:tcBorders>
                  <w:shd w:val="clear" w:color="auto" w:fill="auto"/>
                  <w:noWrap/>
                  <w:vAlign w:val="center"/>
                  <w:hideMark/>
                </w:tcPr>
                <w:p w14:paraId="2AC6F1EF" w14:textId="77777777" w:rsidR="006C059D" w:rsidRPr="000F1142" w:rsidRDefault="006F63F6" w:rsidP="006C059D">
                  <w:pPr>
                    <w:spacing w:after="0" w:line="240" w:lineRule="auto"/>
                    <w:rPr>
                      <w:rFonts w:ascii="Tahoma" w:eastAsia="Times New Roman" w:hAnsi="Tahoma" w:cs="Tahoma"/>
                      <w:color w:val="404040"/>
                      <w:lang w:val="en-US"/>
                    </w:rPr>
                  </w:pPr>
                  <w:r w:rsidRPr="000F1142">
                    <w:rPr>
                      <w:rFonts w:ascii="Tahoma" w:eastAsia="Times New Roman" w:hAnsi="Tahoma" w:cs="Tahoma"/>
                      <w:color w:val="404040"/>
                      <w:lang w:val="en-US"/>
                    </w:rPr>
                    <w:t> </w:t>
                  </w:r>
                </w:p>
              </w:tc>
              <w:tc>
                <w:tcPr>
                  <w:tcW w:w="1276" w:type="dxa"/>
                  <w:tcBorders>
                    <w:top w:val="single" w:sz="4" w:space="0" w:color="000000"/>
                    <w:left w:val="nil"/>
                    <w:bottom w:val="nil"/>
                    <w:right w:val="single" w:sz="4" w:space="0" w:color="FFFFFF"/>
                  </w:tcBorders>
                  <w:shd w:val="clear" w:color="auto" w:fill="auto"/>
                  <w:noWrap/>
                  <w:vAlign w:val="center"/>
                  <w:hideMark/>
                </w:tcPr>
                <w:p w14:paraId="2D3C308C" w14:textId="77777777" w:rsidR="006C059D" w:rsidRPr="000F1142" w:rsidRDefault="006F63F6" w:rsidP="006C059D">
                  <w:pPr>
                    <w:spacing w:after="0" w:line="240" w:lineRule="auto"/>
                    <w:rPr>
                      <w:rFonts w:ascii="Tahoma" w:eastAsia="Times New Roman" w:hAnsi="Tahoma" w:cs="Tahoma"/>
                      <w:color w:val="404040"/>
                      <w:lang w:val="en-US"/>
                    </w:rPr>
                  </w:pPr>
                  <w:r w:rsidRPr="000F1142">
                    <w:rPr>
                      <w:rFonts w:ascii="Tahoma" w:eastAsia="Times New Roman" w:hAnsi="Tahoma" w:cs="Tahoma"/>
                      <w:color w:val="404040"/>
                      <w:lang w:val="en-US"/>
                    </w:rPr>
                    <w:t> </w:t>
                  </w:r>
                </w:p>
              </w:tc>
              <w:tc>
                <w:tcPr>
                  <w:tcW w:w="1873" w:type="dxa"/>
                  <w:tcBorders>
                    <w:top w:val="single" w:sz="4" w:space="0" w:color="000000"/>
                    <w:left w:val="nil"/>
                    <w:bottom w:val="nil"/>
                    <w:right w:val="single" w:sz="4" w:space="0" w:color="FFFFFF"/>
                  </w:tcBorders>
                  <w:shd w:val="clear" w:color="auto" w:fill="auto"/>
                  <w:noWrap/>
                  <w:vAlign w:val="center"/>
                  <w:hideMark/>
                </w:tcPr>
                <w:p w14:paraId="791F32B6" w14:textId="77777777" w:rsidR="006C059D" w:rsidRPr="000F1142" w:rsidRDefault="006F63F6" w:rsidP="006C059D">
                  <w:pPr>
                    <w:spacing w:after="0" w:line="240" w:lineRule="auto"/>
                    <w:rPr>
                      <w:rFonts w:ascii="Tahoma" w:eastAsia="Times New Roman" w:hAnsi="Tahoma" w:cs="Tahoma"/>
                      <w:color w:val="404040"/>
                      <w:lang w:val="en-US"/>
                    </w:rPr>
                  </w:pPr>
                  <w:r w:rsidRPr="000F1142">
                    <w:rPr>
                      <w:rFonts w:ascii="Tahoma" w:eastAsia="Times New Roman" w:hAnsi="Tahoma" w:cs="Tahoma"/>
                      <w:color w:val="404040"/>
                      <w:lang w:val="en-US"/>
                    </w:rPr>
                    <w:t> </w:t>
                  </w:r>
                </w:p>
              </w:tc>
            </w:tr>
          </w:tbl>
          <w:p w14:paraId="63A35ECE" w14:textId="77777777" w:rsidR="000B4EAD" w:rsidRPr="000F1142" w:rsidRDefault="000B4EAD" w:rsidP="005B039B">
            <w:pPr>
              <w:spacing w:line="360" w:lineRule="auto"/>
              <w:jc w:val="both"/>
              <w:rPr>
                <w:rFonts w:ascii="Tahoma" w:eastAsia="Tahoma" w:hAnsi="Tahoma" w:cs="Tahoma"/>
                <w:bCs/>
                <w:color w:val="808080"/>
                <w:sz w:val="18"/>
                <w:szCs w:val="18"/>
                <w:highlight w:val="yellow"/>
                <w:lang w:val="en-US"/>
              </w:rPr>
            </w:pPr>
          </w:p>
          <w:p w14:paraId="0D78FA2D" w14:textId="2372CE82" w:rsidR="00E122F1" w:rsidRPr="000F1142" w:rsidRDefault="006F63F6" w:rsidP="00417A3F">
            <w:pPr>
              <w:spacing w:line="360" w:lineRule="auto"/>
              <w:jc w:val="both"/>
              <w:rPr>
                <w:rFonts w:ascii="Tahoma" w:eastAsia="Tahoma" w:hAnsi="Tahoma" w:cs="Tahoma"/>
                <w:bCs/>
                <w:color w:val="808080"/>
                <w:sz w:val="18"/>
                <w:szCs w:val="18"/>
                <w:lang w:val="en-US"/>
              </w:rPr>
            </w:pPr>
            <w:r>
              <w:rPr>
                <w:rFonts w:ascii="Tahoma" w:eastAsia="Tahoma" w:hAnsi="Tahoma" w:cs="Tahoma"/>
                <w:bCs/>
                <w:color w:val="808080"/>
                <w:sz w:val="18"/>
                <w:szCs w:val="18"/>
                <w:lang w:val="en-US"/>
              </w:rPr>
              <w:t>Construction and assembly production in Q1 2024 (at current prices) decreased 4,2% ‎year-on-year, from PLN 27.2 billion to PLN 26.1 billion</w:t>
            </w:r>
            <w:r w:rsidR="000F1142">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 xml:space="preserve">In the buildings segment, </w:t>
            </w:r>
            <w:r>
              <w:rPr>
                <w:rFonts w:ascii="Tahoma" w:eastAsia="Tahoma" w:hAnsi="Tahoma" w:cs="Tahoma"/>
                <w:bCs/>
                <w:color w:val="808080"/>
                <w:sz w:val="18"/>
                <w:szCs w:val="18"/>
                <w:lang w:val="en-US"/>
              </w:rPr>
              <w:t>production sold fell by 1%, while the infrastructure ‎area recorded a decline of 8%.‎</w:t>
            </w:r>
          </w:p>
          <w:p w14:paraId="7522550E" w14:textId="77777777" w:rsidR="00CD799E" w:rsidRPr="000F1142" w:rsidRDefault="00CD799E" w:rsidP="00417A3F">
            <w:pPr>
              <w:spacing w:line="360" w:lineRule="auto"/>
              <w:jc w:val="both"/>
              <w:rPr>
                <w:rFonts w:ascii="Tahoma" w:eastAsia="Tahoma" w:hAnsi="Tahoma" w:cs="Tahoma"/>
                <w:bCs/>
                <w:color w:val="808080"/>
                <w:sz w:val="18"/>
                <w:szCs w:val="18"/>
                <w:highlight w:val="cyan"/>
                <w:lang w:val="en-US"/>
              </w:rPr>
            </w:pPr>
          </w:p>
          <w:tbl>
            <w:tblPr>
              <w:tblW w:w="6844" w:type="dxa"/>
              <w:tblLayout w:type="fixed"/>
              <w:tblCellMar>
                <w:left w:w="70" w:type="dxa"/>
                <w:right w:w="70" w:type="dxa"/>
              </w:tblCellMar>
              <w:tblLook w:val="04A0" w:firstRow="1" w:lastRow="0" w:firstColumn="1" w:lastColumn="0" w:noHBand="0" w:noVBand="1"/>
            </w:tblPr>
            <w:tblGrid>
              <w:gridCol w:w="2734"/>
              <w:gridCol w:w="1417"/>
              <w:gridCol w:w="1276"/>
              <w:gridCol w:w="1417"/>
            </w:tblGrid>
            <w:tr w:rsidR="00D9163E" w:rsidRPr="007713CB" w14:paraId="264E755C" w14:textId="77777777" w:rsidTr="004C3EFA">
              <w:trPr>
                <w:trHeight w:val="349"/>
              </w:trPr>
              <w:tc>
                <w:tcPr>
                  <w:tcW w:w="2734" w:type="dxa"/>
                  <w:vMerge w:val="restart"/>
                  <w:tcBorders>
                    <w:top w:val="nil"/>
                    <w:left w:val="single" w:sz="4" w:space="0" w:color="000000"/>
                    <w:bottom w:val="single" w:sz="8" w:space="0" w:color="000000"/>
                    <w:right w:val="nil"/>
                  </w:tcBorders>
                  <w:shd w:val="clear" w:color="000000" w:fill="595959"/>
                  <w:vAlign w:val="center"/>
                  <w:hideMark/>
                </w:tcPr>
                <w:p w14:paraId="4125E994" w14:textId="77777777" w:rsidR="004C3EFA" w:rsidRPr="000F1142" w:rsidRDefault="006F63F6" w:rsidP="004C3EFA">
                  <w:pPr>
                    <w:spacing w:after="0" w:line="240" w:lineRule="auto"/>
                    <w:rPr>
                      <w:rFonts w:ascii="Tahoma" w:eastAsia="Times New Roman" w:hAnsi="Tahoma" w:cs="Tahoma"/>
                      <w:b/>
                      <w:bCs/>
                      <w:color w:val="F2F2F2"/>
                      <w:lang w:val="en-US"/>
                    </w:rPr>
                  </w:pPr>
                  <w:r>
                    <w:rPr>
                      <w:rFonts w:ascii="Tahoma" w:eastAsia="Tahoma" w:hAnsi="Tahoma" w:cs="Tahoma"/>
                      <w:b/>
                      <w:bCs/>
                      <w:color w:val="F2F2F2"/>
                      <w:lang w:val="en-US"/>
                    </w:rPr>
                    <w:t>Construction sector</w:t>
                  </w:r>
                </w:p>
              </w:tc>
              <w:tc>
                <w:tcPr>
                  <w:tcW w:w="4110" w:type="dxa"/>
                  <w:gridSpan w:val="3"/>
                  <w:tcBorders>
                    <w:top w:val="nil"/>
                    <w:left w:val="nil"/>
                    <w:bottom w:val="nil"/>
                    <w:right w:val="nil"/>
                  </w:tcBorders>
                  <w:shd w:val="clear" w:color="000000" w:fill="BFBFBF"/>
                  <w:noWrap/>
                  <w:vAlign w:val="center"/>
                  <w:hideMark/>
                </w:tcPr>
                <w:p w14:paraId="667EB764" w14:textId="77777777" w:rsidR="004C3EFA" w:rsidRPr="000F1142" w:rsidRDefault="006F63F6" w:rsidP="004C3EFA">
                  <w:pPr>
                    <w:spacing w:after="0" w:line="240" w:lineRule="auto"/>
                    <w:jc w:val="center"/>
                    <w:rPr>
                      <w:rFonts w:ascii="Tahoma" w:eastAsia="Times New Roman" w:hAnsi="Tahoma" w:cs="Tahoma"/>
                      <w:b/>
                      <w:bCs/>
                      <w:color w:val="000000"/>
                      <w:lang w:val="en-US"/>
                    </w:rPr>
                  </w:pPr>
                  <w:r>
                    <w:rPr>
                      <w:rFonts w:ascii="Tahoma" w:eastAsia="Tahoma" w:hAnsi="Tahoma" w:cs="Tahoma"/>
                      <w:b/>
                      <w:bCs/>
                      <w:color w:val="000000"/>
                      <w:lang w:val="en-US"/>
                    </w:rPr>
                    <w:t>Statistics (PLN billion)‎</w:t>
                  </w:r>
                </w:p>
              </w:tc>
            </w:tr>
            <w:tr w:rsidR="00D9163E" w:rsidRPr="007713CB" w14:paraId="06A2E9A1" w14:textId="77777777" w:rsidTr="004C3EFA">
              <w:trPr>
                <w:trHeight w:val="540"/>
              </w:trPr>
              <w:tc>
                <w:tcPr>
                  <w:tcW w:w="2734" w:type="dxa"/>
                  <w:vMerge/>
                  <w:tcBorders>
                    <w:top w:val="nil"/>
                    <w:left w:val="single" w:sz="4" w:space="0" w:color="000000"/>
                    <w:bottom w:val="single" w:sz="8" w:space="0" w:color="000000"/>
                    <w:right w:val="nil"/>
                  </w:tcBorders>
                  <w:vAlign w:val="center"/>
                  <w:hideMark/>
                </w:tcPr>
                <w:p w14:paraId="2AF911D5" w14:textId="77777777" w:rsidR="004C3EFA" w:rsidRPr="000F1142" w:rsidRDefault="004C3EFA" w:rsidP="004C3EFA">
                  <w:pPr>
                    <w:spacing w:after="0" w:line="240" w:lineRule="auto"/>
                    <w:rPr>
                      <w:rFonts w:ascii="Tahoma" w:eastAsia="Times New Roman" w:hAnsi="Tahoma" w:cs="Tahoma"/>
                      <w:b/>
                      <w:bCs/>
                      <w:color w:val="F2F2F2"/>
                      <w:lang w:val="en-US"/>
                    </w:rPr>
                  </w:pPr>
                </w:p>
              </w:tc>
              <w:tc>
                <w:tcPr>
                  <w:tcW w:w="1417" w:type="dxa"/>
                  <w:tcBorders>
                    <w:top w:val="single" w:sz="4" w:space="0" w:color="auto"/>
                    <w:left w:val="nil"/>
                    <w:bottom w:val="single" w:sz="8" w:space="0" w:color="auto"/>
                    <w:right w:val="single" w:sz="4" w:space="0" w:color="000000"/>
                  </w:tcBorders>
                  <w:shd w:val="clear" w:color="000000" w:fill="BFBFBF"/>
                  <w:vAlign w:val="center"/>
                  <w:hideMark/>
                </w:tcPr>
                <w:p w14:paraId="302DCFD4" w14:textId="3A754B94" w:rsidR="004C3EFA" w:rsidRPr="000F1142" w:rsidRDefault="000F1142" w:rsidP="004C3EFA">
                  <w:pPr>
                    <w:spacing w:after="0" w:line="240" w:lineRule="auto"/>
                    <w:rPr>
                      <w:rFonts w:ascii="Tahoma" w:eastAsia="Times New Roman" w:hAnsi="Tahoma" w:cs="Tahoma"/>
                      <w:color w:val="000000"/>
                      <w:lang w:val="en-US"/>
                    </w:rPr>
                  </w:pPr>
                  <w:r>
                    <w:rPr>
                      <w:rFonts w:ascii="Tahoma" w:eastAsia="Tahoma" w:hAnsi="Tahoma" w:cs="Tahoma"/>
                      <w:color w:val="000000"/>
                      <w:lang w:val="en-US"/>
                    </w:rPr>
                    <w:t>Q1 2024</w:t>
                  </w:r>
                </w:p>
              </w:tc>
              <w:tc>
                <w:tcPr>
                  <w:tcW w:w="1276" w:type="dxa"/>
                  <w:tcBorders>
                    <w:top w:val="single" w:sz="4" w:space="0" w:color="auto"/>
                    <w:left w:val="nil"/>
                    <w:bottom w:val="single" w:sz="8" w:space="0" w:color="auto"/>
                    <w:right w:val="single" w:sz="4" w:space="0" w:color="000000"/>
                  </w:tcBorders>
                  <w:shd w:val="clear" w:color="000000" w:fill="BFBFBF"/>
                  <w:vAlign w:val="center"/>
                  <w:hideMark/>
                </w:tcPr>
                <w:p w14:paraId="688ABB60" w14:textId="50C4A821" w:rsidR="004C3EFA" w:rsidRPr="000F1142" w:rsidRDefault="000F1142" w:rsidP="004C3EFA">
                  <w:pPr>
                    <w:spacing w:after="0" w:line="240" w:lineRule="auto"/>
                    <w:rPr>
                      <w:rFonts w:ascii="Tahoma" w:eastAsia="Times New Roman" w:hAnsi="Tahoma" w:cs="Tahoma"/>
                      <w:color w:val="000000"/>
                      <w:lang w:val="en-US"/>
                    </w:rPr>
                  </w:pPr>
                  <w:r>
                    <w:rPr>
                      <w:rFonts w:ascii="Tahoma" w:eastAsia="Tahoma" w:hAnsi="Tahoma" w:cs="Tahoma"/>
                      <w:color w:val="000000"/>
                      <w:lang w:val="en-US"/>
                    </w:rPr>
                    <w:t>Q1 2023</w:t>
                  </w:r>
                </w:p>
              </w:tc>
              <w:tc>
                <w:tcPr>
                  <w:tcW w:w="1417" w:type="dxa"/>
                  <w:tcBorders>
                    <w:top w:val="single" w:sz="4" w:space="0" w:color="000000"/>
                    <w:left w:val="nil"/>
                    <w:bottom w:val="single" w:sz="8" w:space="0" w:color="000000"/>
                    <w:right w:val="nil"/>
                  </w:tcBorders>
                  <w:shd w:val="clear" w:color="000000" w:fill="BFBFBF"/>
                  <w:noWrap/>
                  <w:vAlign w:val="center"/>
                  <w:hideMark/>
                </w:tcPr>
                <w:p w14:paraId="2D433708" w14:textId="77777777" w:rsidR="004C3EFA" w:rsidRPr="000F1142" w:rsidRDefault="006F63F6" w:rsidP="004C3EFA">
                  <w:pPr>
                    <w:spacing w:after="0" w:line="240" w:lineRule="auto"/>
                    <w:jc w:val="center"/>
                    <w:rPr>
                      <w:rFonts w:ascii="Tahoma" w:eastAsia="Times New Roman" w:hAnsi="Tahoma" w:cs="Tahoma"/>
                      <w:color w:val="000000"/>
                      <w:lang w:val="en-US"/>
                    </w:rPr>
                  </w:pPr>
                  <w:r>
                    <w:rPr>
                      <w:rFonts w:ascii="Tahoma" w:eastAsia="Tahoma" w:hAnsi="Tahoma" w:cs="Tahoma"/>
                      <w:color w:val="000000"/>
                      <w:lang w:val="en-US"/>
                    </w:rPr>
                    <w:t>y/y</w:t>
                  </w:r>
                </w:p>
              </w:tc>
            </w:tr>
            <w:tr w:rsidR="00D9163E" w:rsidRPr="007713CB" w14:paraId="4E375484" w14:textId="77777777" w:rsidTr="004C3EFA">
              <w:trPr>
                <w:trHeight w:val="660"/>
              </w:trPr>
              <w:tc>
                <w:tcPr>
                  <w:tcW w:w="2734" w:type="dxa"/>
                  <w:tcBorders>
                    <w:top w:val="nil"/>
                    <w:left w:val="single" w:sz="8" w:space="0" w:color="FFC000"/>
                    <w:bottom w:val="single" w:sz="8" w:space="0" w:color="auto"/>
                    <w:right w:val="nil"/>
                  </w:tcBorders>
                  <w:shd w:val="clear" w:color="000000" w:fill="FFC000"/>
                  <w:vAlign w:val="center"/>
                  <w:hideMark/>
                </w:tcPr>
                <w:p w14:paraId="32E9700C" w14:textId="77777777" w:rsidR="004C3EFA" w:rsidRPr="000F1142" w:rsidRDefault="006F63F6" w:rsidP="004C3EFA">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 xml:space="preserve">Sold </w:t>
                  </w:r>
                  <w:r>
                    <w:rPr>
                      <w:rFonts w:ascii="Tahoma" w:eastAsia="Tahoma" w:hAnsi="Tahoma" w:cs="Tahoma"/>
                      <w:color w:val="404040"/>
                      <w:lang w:val="en-US"/>
                    </w:rPr>
                    <w:br/>
                  </w:r>
                  <w:r>
                    <w:rPr>
                      <w:rFonts w:ascii="Tahoma" w:eastAsia="Tahoma" w:hAnsi="Tahoma" w:cs="Tahoma"/>
                      <w:b/>
                      <w:bCs/>
                      <w:color w:val="404040"/>
                      <w:lang w:val="en-US"/>
                    </w:rPr>
                    <w:t>production</w:t>
                  </w:r>
                </w:p>
              </w:tc>
              <w:tc>
                <w:tcPr>
                  <w:tcW w:w="1417" w:type="dxa"/>
                  <w:tcBorders>
                    <w:top w:val="nil"/>
                    <w:left w:val="nil"/>
                    <w:bottom w:val="single" w:sz="8" w:space="0" w:color="000000"/>
                    <w:right w:val="nil"/>
                  </w:tcBorders>
                  <w:shd w:val="clear" w:color="000000" w:fill="FFC000"/>
                  <w:noWrap/>
                  <w:vAlign w:val="center"/>
                  <w:hideMark/>
                </w:tcPr>
                <w:p w14:paraId="407C5CCB" w14:textId="77777777" w:rsidR="004C3EFA" w:rsidRPr="000F1142" w:rsidRDefault="006F63F6" w:rsidP="004C3EFA">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26.1</w:t>
                  </w:r>
                </w:p>
              </w:tc>
              <w:tc>
                <w:tcPr>
                  <w:tcW w:w="1276" w:type="dxa"/>
                  <w:tcBorders>
                    <w:top w:val="nil"/>
                    <w:left w:val="nil"/>
                    <w:bottom w:val="single" w:sz="8" w:space="0" w:color="000000"/>
                    <w:right w:val="nil"/>
                  </w:tcBorders>
                  <w:shd w:val="clear" w:color="000000" w:fill="FFC000"/>
                  <w:noWrap/>
                  <w:vAlign w:val="center"/>
                  <w:hideMark/>
                </w:tcPr>
                <w:p w14:paraId="7E00A8D1" w14:textId="77777777" w:rsidR="004C3EFA" w:rsidRPr="000F1142" w:rsidRDefault="006F63F6" w:rsidP="004C3EFA">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27.2</w:t>
                  </w:r>
                </w:p>
              </w:tc>
              <w:tc>
                <w:tcPr>
                  <w:tcW w:w="1417" w:type="dxa"/>
                  <w:tcBorders>
                    <w:top w:val="nil"/>
                    <w:left w:val="nil"/>
                    <w:bottom w:val="single" w:sz="8" w:space="0" w:color="000000"/>
                    <w:right w:val="nil"/>
                  </w:tcBorders>
                  <w:shd w:val="clear" w:color="000000" w:fill="FFC000"/>
                  <w:noWrap/>
                  <w:vAlign w:val="center"/>
                  <w:hideMark/>
                </w:tcPr>
                <w:p w14:paraId="7A59484B" w14:textId="77777777" w:rsidR="004C3EFA" w:rsidRPr="000F1142" w:rsidRDefault="006F63F6" w:rsidP="004C3EFA">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-4.2%</w:t>
                  </w:r>
                </w:p>
              </w:tc>
            </w:tr>
            <w:tr w:rsidR="00D9163E" w:rsidRPr="007713CB" w14:paraId="38A91AFC" w14:textId="77777777" w:rsidTr="004C3EFA">
              <w:trPr>
                <w:trHeight w:val="405"/>
              </w:trPr>
              <w:tc>
                <w:tcPr>
                  <w:tcW w:w="2734" w:type="dxa"/>
                  <w:tcBorders>
                    <w:top w:val="nil"/>
                    <w:left w:val="nil"/>
                    <w:bottom w:val="nil"/>
                    <w:right w:val="nil"/>
                  </w:tcBorders>
                  <w:shd w:val="clear" w:color="000000" w:fill="F2F2F2"/>
                  <w:noWrap/>
                  <w:vAlign w:val="center"/>
                  <w:hideMark/>
                </w:tcPr>
                <w:p w14:paraId="3BB21BC1" w14:textId="77777777" w:rsidR="004C3EFA" w:rsidRPr="000F1142" w:rsidRDefault="006F63F6" w:rsidP="004C3EFA">
                  <w:pPr>
                    <w:spacing w:after="0" w:line="240" w:lineRule="auto"/>
                    <w:outlineLvl w:val="0"/>
                    <w:rPr>
                      <w:rFonts w:ascii="Tahoma" w:eastAsia="Times New Roman" w:hAnsi="Tahoma" w:cs="Tahoma"/>
                      <w:b/>
                      <w:bCs/>
                      <w:color w:val="404040"/>
                      <w:lang w:val="en-US"/>
                    </w:rPr>
                  </w:pPr>
                  <w:r>
                    <w:rPr>
                      <w:rFonts w:ascii="Tahoma" w:eastAsia="Tahoma" w:hAnsi="Tahoma" w:cs="Tahoma"/>
                      <w:b/>
                      <w:bCs/>
                      <w:color w:val="404040"/>
                      <w:lang w:val="en-US"/>
                    </w:rPr>
                    <w:t>Buildings</w:t>
                  </w:r>
                </w:p>
              </w:tc>
              <w:tc>
                <w:tcPr>
                  <w:tcW w:w="1417" w:type="dxa"/>
                  <w:tcBorders>
                    <w:top w:val="nil"/>
                    <w:left w:val="nil"/>
                    <w:bottom w:val="nil"/>
                    <w:right w:val="nil"/>
                  </w:tcBorders>
                  <w:shd w:val="clear" w:color="000000" w:fill="F2F2F2"/>
                  <w:noWrap/>
                  <w:vAlign w:val="center"/>
                  <w:hideMark/>
                </w:tcPr>
                <w:p w14:paraId="3ADF7FC0" w14:textId="77777777" w:rsidR="004C3EFA" w:rsidRPr="000F1142" w:rsidRDefault="006F63F6" w:rsidP="004C3EFA">
                  <w:pPr>
                    <w:spacing w:after="0" w:line="240" w:lineRule="auto"/>
                    <w:outlineLvl w:val="0"/>
                    <w:rPr>
                      <w:rFonts w:ascii="Tahoma" w:eastAsia="Times New Roman" w:hAnsi="Tahoma" w:cs="Tahoma"/>
                      <w:b/>
                      <w:bCs/>
                      <w:color w:val="404040"/>
                      <w:lang w:val="en-US"/>
                    </w:rPr>
                  </w:pPr>
                  <w:r>
                    <w:rPr>
                      <w:rFonts w:ascii="Tahoma" w:eastAsia="Tahoma" w:hAnsi="Tahoma" w:cs="Tahoma"/>
                      <w:b/>
                      <w:bCs/>
                      <w:color w:val="404040"/>
                      <w:lang w:val="en-US"/>
                    </w:rPr>
                    <w:t>14.5</w:t>
                  </w:r>
                </w:p>
              </w:tc>
              <w:tc>
                <w:tcPr>
                  <w:tcW w:w="1276" w:type="dxa"/>
                  <w:tcBorders>
                    <w:top w:val="nil"/>
                    <w:left w:val="nil"/>
                    <w:bottom w:val="nil"/>
                    <w:right w:val="nil"/>
                  </w:tcBorders>
                  <w:shd w:val="clear" w:color="000000" w:fill="F2F2F2"/>
                  <w:noWrap/>
                  <w:vAlign w:val="center"/>
                  <w:hideMark/>
                </w:tcPr>
                <w:p w14:paraId="2B34AAEA" w14:textId="77777777" w:rsidR="004C3EFA" w:rsidRPr="000F1142" w:rsidRDefault="006F63F6" w:rsidP="004C3EFA">
                  <w:pPr>
                    <w:spacing w:after="0" w:line="240" w:lineRule="auto"/>
                    <w:outlineLvl w:val="0"/>
                    <w:rPr>
                      <w:rFonts w:ascii="Tahoma" w:eastAsia="Times New Roman" w:hAnsi="Tahoma" w:cs="Tahoma"/>
                      <w:b/>
                      <w:bCs/>
                      <w:color w:val="404040"/>
                      <w:lang w:val="en-US"/>
                    </w:rPr>
                  </w:pPr>
                  <w:r>
                    <w:rPr>
                      <w:rFonts w:ascii="Tahoma" w:eastAsia="Tahoma" w:hAnsi="Tahoma" w:cs="Tahoma"/>
                      <w:b/>
                      <w:bCs/>
                      <w:color w:val="404040"/>
                      <w:lang w:val="en-US"/>
                    </w:rPr>
                    <w:t>14.6</w:t>
                  </w:r>
                </w:p>
              </w:tc>
              <w:tc>
                <w:tcPr>
                  <w:tcW w:w="1417" w:type="dxa"/>
                  <w:tcBorders>
                    <w:top w:val="nil"/>
                    <w:left w:val="nil"/>
                    <w:bottom w:val="nil"/>
                    <w:right w:val="nil"/>
                  </w:tcBorders>
                  <w:shd w:val="clear" w:color="000000" w:fill="F2F2F2"/>
                  <w:noWrap/>
                  <w:vAlign w:val="center"/>
                  <w:hideMark/>
                </w:tcPr>
                <w:p w14:paraId="1E8D9566" w14:textId="77777777" w:rsidR="004C3EFA" w:rsidRPr="000F1142" w:rsidRDefault="006F63F6" w:rsidP="004C3EFA">
                  <w:pPr>
                    <w:spacing w:after="0" w:line="240" w:lineRule="auto"/>
                    <w:outlineLvl w:val="0"/>
                    <w:rPr>
                      <w:rFonts w:ascii="Tahoma" w:eastAsia="Times New Roman" w:hAnsi="Tahoma" w:cs="Tahoma"/>
                      <w:b/>
                      <w:bCs/>
                      <w:color w:val="404040"/>
                      <w:lang w:val="en-US"/>
                    </w:rPr>
                  </w:pPr>
                  <w:r>
                    <w:rPr>
                      <w:rFonts w:ascii="Tahoma" w:eastAsia="Tahoma" w:hAnsi="Tahoma" w:cs="Tahoma"/>
                      <w:b/>
                      <w:bCs/>
                      <w:color w:val="404040"/>
                      <w:lang w:val="en-US"/>
                    </w:rPr>
                    <w:t>-1.0%</w:t>
                  </w:r>
                </w:p>
              </w:tc>
            </w:tr>
            <w:tr w:rsidR="00D9163E" w:rsidRPr="007713CB" w14:paraId="00774919" w14:textId="77777777" w:rsidTr="004C3EFA">
              <w:trPr>
                <w:trHeight w:val="285"/>
              </w:trPr>
              <w:tc>
                <w:tcPr>
                  <w:tcW w:w="2734" w:type="dxa"/>
                  <w:tcBorders>
                    <w:top w:val="nil"/>
                    <w:left w:val="nil"/>
                    <w:bottom w:val="nil"/>
                    <w:right w:val="nil"/>
                  </w:tcBorders>
                  <w:shd w:val="clear" w:color="000000" w:fill="F2F2F2"/>
                  <w:noWrap/>
                  <w:vAlign w:val="center"/>
                  <w:hideMark/>
                </w:tcPr>
                <w:p w14:paraId="4A7D007A" w14:textId="77777777" w:rsidR="004C3EFA" w:rsidRPr="000F1142" w:rsidRDefault="006F63F6" w:rsidP="004C3EFA">
                  <w:pPr>
                    <w:spacing w:after="0" w:line="240" w:lineRule="auto"/>
                    <w:outlineLvl w:val="0"/>
                    <w:rPr>
                      <w:rFonts w:ascii="Tahoma" w:eastAsia="Times New Roman" w:hAnsi="Tahoma" w:cs="Tahoma"/>
                      <w:color w:val="404040"/>
                      <w:lang w:val="en-US"/>
                    </w:rPr>
                  </w:pPr>
                  <w:r>
                    <w:rPr>
                      <w:rFonts w:ascii="Tahoma" w:eastAsia="Tahoma" w:hAnsi="Tahoma" w:cs="Tahoma"/>
                      <w:color w:val="404040"/>
                      <w:lang w:val="en-US"/>
                    </w:rPr>
                    <w:t>share</w:t>
                  </w:r>
                </w:p>
              </w:tc>
              <w:tc>
                <w:tcPr>
                  <w:tcW w:w="1417" w:type="dxa"/>
                  <w:tcBorders>
                    <w:top w:val="nil"/>
                    <w:left w:val="nil"/>
                    <w:bottom w:val="single" w:sz="4" w:space="0" w:color="000000"/>
                    <w:right w:val="nil"/>
                  </w:tcBorders>
                  <w:shd w:val="clear" w:color="000000" w:fill="F2F2F2"/>
                  <w:noWrap/>
                  <w:vAlign w:val="center"/>
                  <w:hideMark/>
                </w:tcPr>
                <w:p w14:paraId="38881460" w14:textId="77777777" w:rsidR="004C3EFA" w:rsidRPr="000F1142" w:rsidRDefault="006F63F6" w:rsidP="004C3EFA">
                  <w:pPr>
                    <w:spacing w:after="0" w:line="240" w:lineRule="auto"/>
                    <w:outlineLvl w:val="0"/>
                    <w:rPr>
                      <w:rFonts w:ascii="Tahoma" w:eastAsia="Times New Roman" w:hAnsi="Tahoma" w:cs="Tahoma"/>
                      <w:color w:val="404040"/>
                      <w:lang w:val="en-US"/>
                    </w:rPr>
                  </w:pPr>
                  <w:r>
                    <w:rPr>
                      <w:rFonts w:ascii="Tahoma" w:eastAsia="Tahoma" w:hAnsi="Tahoma" w:cs="Tahoma"/>
                      <w:color w:val="404040"/>
                      <w:lang w:val="en-US"/>
                    </w:rPr>
                    <w:t>55.6%</w:t>
                  </w:r>
                </w:p>
              </w:tc>
              <w:tc>
                <w:tcPr>
                  <w:tcW w:w="1276" w:type="dxa"/>
                  <w:tcBorders>
                    <w:top w:val="nil"/>
                    <w:left w:val="nil"/>
                    <w:bottom w:val="single" w:sz="4" w:space="0" w:color="000000"/>
                    <w:right w:val="nil"/>
                  </w:tcBorders>
                  <w:shd w:val="clear" w:color="000000" w:fill="F2F2F2"/>
                  <w:noWrap/>
                  <w:vAlign w:val="center"/>
                  <w:hideMark/>
                </w:tcPr>
                <w:p w14:paraId="5782685C" w14:textId="77777777" w:rsidR="004C3EFA" w:rsidRPr="000F1142" w:rsidRDefault="006F63F6" w:rsidP="004C3EFA">
                  <w:pPr>
                    <w:spacing w:after="0" w:line="240" w:lineRule="auto"/>
                    <w:outlineLvl w:val="0"/>
                    <w:rPr>
                      <w:rFonts w:ascii="Tahoma" w:eastAsia="Times New Roman" w:hAnsi="Tahoma" w:cs="Tahoma"/>
                      <w:color w:val="404040"/>
                      <w:lang w:val="en-US"/>
                    </w:rPr>
                  </w:pPr>
                  <w:r>
                    <w:rPr>
                      <w:rFonts w:ascii="Tahoma" w:eastAsia="Tahoma" w:hAnsi="Tahoma" w:cs="Tahoma"/>
                      <w:color w:val="404040"/>
                      <w:lang w:val="en-US"/>
                    </w:rPr>
                    <w:t>53.8%</w:t>
                  </w:r>
                </w:p>
              </w:tc>
              <w:tc>
                <w:tcPr>
                  <w:tcW w:w="1417" w:type="dxa"/>
                  <w:tcBorders>
                    <w:top w:val="nil"/>
                    <w:left w:val="nil"/>
                    <w:bottom w:val="single" w:sz="4" w:space="0" w:color="000000"/>
                    <w:right w:val="nil"/>
                  </w:tcBorders>
                  <w:shd w:val="clear" w:color="000000" w:fill="F2F2F2"/>
                  <w:noWrap/>
                  <w:vAlign w:val="center"/>
                  <w:hideMark/>
                </w:tcPr>
                <w:p w14:paraId="40EA882F" w14:textId="77777777" w:rsidR="004C3EFA" w:rsidRPr="000F1142" w:rsidRDefault="006F63F6" w:rsidP="004C3EFA">
                  <w:pPr>
                    <w:spacing w:after="0" w:line="240" w:lineRule="auto"/>
                    <w:outlineLvl w:val="0"/>
                    <w:rPr>
                      <w:rFonts w:ascii="Tahoma" w:eastAsia="Times New Roman" w:hAnsi="Tahoma" w:cs="Tahoma"/>
                      <w:color w:val="404040"/>
                      <w:lang w:val="en-US"/>
                    </w:rPr>
                  </w:pPr>
                  <w:r>
                    <w:rPr>
                      <w:rFonts w:ascii="Tahoma" w:eastAsia="Tahoma" w:hAnsi="Tahoma" w:cs="Tahoma"/>
                      <w:color w:val="404040"/>
                      <w:lang w:val="en-US"/>
                    </w:rPr>
                    <w:t>1.8%</w:t>
                  </w:r>
                </w:p>
              </w:tc>
            </w:tr>
            <w:tr w:rsidR="00D9163E" w:rsidRPr="007713CB" w14:paraId="03526093" w14:textId="77777777" w:rsidTr="004C3EFA">
              <w:trPr>
                <w:trHeight w:val="405"/>
              </w:trPr>
              <w:tc>
                <w:tcPr>
                  <w:tcW w:w="2734" w:type="dxa"/>
                  <w:tcBorders>
                    <w:top w:val="single" w:sz="4" w:space="0" w:color="000000"/>
                    <w:left w:val="nil"/>
                    <w:bottom w:val="dashed" w:sz="4" w:space="0" w:color="000000"/>
                    <w:right w:val="nil"/>
                  </w:tcBorders>
                  <w:shd w:val="clear" w:color="000000" w:fill="F2F2F2"/>
                  <w:noWrap/>
                  <w:vAlign w:val="center"/>
                  <w:hideMark/>
                </w:tcPr>
                <w:p w14:paraId="7B3BE546" w14:textId="77777777" w:rsidR="004C3EFA" w:rsidRPr="000F1142" w:rsidRDefault="006F63F6" w:rsidP="004C3EFA">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Engineering</w:t>
                  </w:r>
                </w:p>
              </w:tc>
              <w:tc>
                <w:tcPr>
                  <w:tcW w:w="1417" w:type="dxa"/>
                  <w:tcBorders>
                    <w:top w:val="nil"/>
                    <w:left w:val="nil"/>
                    <w:bottom w:val="dashed" w:sz="4" w:space="0" w:color="000000"/>
                    <w:right w:val="nil"/>
                  </w:tcBorders>
                  <w:shd w:val="clear" w:color="000000" w:fill="F2F2F2"/>
                  <w:noWrap/>
                  <w:vAlign w:val="center"/>
                  <w:hideMark/>
                </w:tcPr>
                <w:p w14:paraId="43D79A2E" w14:textId="77777777" w:rsidR="004C3EFA" w:rsidRPr="000F1142" w:rsidRDefault="006F63F6" w:rsidP="004C3EFA">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11.6</w:t>
                  </w:r>
                </w:p>
              </w:tc>
              <w:tc>
                <w:tcPr>
                  <w:tcW w:w="1276" w:type="dxa"/>
                  <w:tcBorders>
                    <w:top w:val="nil"/>
                    <w:left w:val="nil"/>
                    <w:bottom w:val="dashed" w:sz="4" w:space="0" w:color="000000"/>
                    <w:right w:val="nil"/>
                  </w:tcBorders>
                  <w:shd w:val="clear" w:color="000000" w:fill="F2F2F2"/>
                  <w:noWrap/>
                  <w:vAlign w:val="center"/>
                  <w:hideMark/>
                </w:tcPr>
                <w:p w14:paraId="41429D5E" w14:textId="77777777" w:rsidR="004C3EFA" w:rsidRPr="000F1142" w:rsidRDefault="006F63F6" w:rsidP="004C3EFA">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12.6</w:t>
                  </w:r>
                </w:p>
              </w:tc>
              <w:tc>
                <w:tcPr>
                  <w:tcW w:w="1417" w:type="dxa"/>
                  <w:tcBorders>
                    <w:top w:val="nil"/>
                    <w:left w:val="nil"/>
                    <w:bottom w:val="dashed" w:sz="4" w:space="0" w:color="000000"/>
                    <w:right w:val="nil"/>
                  </w:tcBorders>
                  <w:shd w:val="clear" w:color="000000" w:fill="F2F2F2"/>
                  <w:noWrap/>
                  <w:vAlign w:val="center"/>
                  <w:hideMark/>
                </w:tcPr>
                <w:p w14:paraId="339C0401" w14:textId="77777777" w:rsidR="004C3EFA" w:rsidRPr="000F1142" w:rsidRDefault="006F63F6" w:rsidP="004C3EFA">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-8.0%</w:t>
                  </w:r>
                </w:p>
              </w:tc>
            </w:tr>
            <w:tr w:rsidR="00D9163E" w:rsidRPr="007713CB" w14:paraId="455FCAD7" w14:textId="77777777" w:rsidTr="004C3EFA">
              <w:trPr>
                <w:trHeight w:val="330"/>
              </w:trPr>
              <w:tc>
                <w:tcPr>
                  <w:tcW w:w="2734" w:type="dxa"/>
                  <w:tcBorders>
                    <w:top w:val="nil"/>
                    <w:left w:val="nil"/>
                    <w:bottom w:val="dotted" w:sz="4" w:space="0" w:color="808080"/>
                    <w:right w:val="nil"/>
                  </w:tcBorders>
                  <w:shd w:val="clear" w:color="000000" w:fill="F9F9F9"/>
                  <w:noWrap/>
                  <w:vAlign w:val="center"/>
                  <w:hideMark/>
                </w:tcPr>
                <w:p w14:paraId="0A4FA273" w14:textId="77777777" w:rsidR="004C3EFA" w:rsidRPr="000F1142" w:rsidRDefault="006F63F6" w:rsidP="004C3EFA">
                  <w:pPr>
                    <w:spacing w:after="0" w:line="240" w:lineRule="auto"/>
                    <w:rPr>
                      <w:rFonts w:ascii="Tahoma" w:eastAsia="Times New Roman" w:hAnsi="Tahoma" w:cs="Tahoma"/>
                      <w:i/>
                      <w:iCs/>
                      <w:color w:val="404040"/>
                      <w:sz w:val="20"/>
                      <w:szCs w:val="20"/>
                      <w:lang w:val="en-US"/>
                    </w:rPr>
                  </w:pPr>
                  <w:r>
                    <w:rPr>
                      <w:rFonts w:ascii="Tahoma" w:eastAsia="Tahoma" w:hAnsi="Tahoma" w:cs="Tahoma"/>
                      <w:i/>
                      <w:iCs/>
                      <w:color w:val="404040"/>
                      <w:sz w:val="20"/>
                      <w:szCs w:val="20"/>
                      <w:lang w:val="en-US"/>
                    </w:rPr>
                    <w:t>Including roads</w:t>
                  </w:r>
                </w:p>
              </w:tc>
              <w:tc>
                <w:tcPr>
                  <w:tcW w:w="1417" w:type="dxa"/>
                  <w:tcBorders>
                    <w:top w:val="nil"/>
                    <w:left w:val="nil"/>
                    <w:bottom w:val="dotted" w:sz="4" w:space="0" w:color="808080"/>
                    <w:right w:val="nil"/>
                  </w:tcBorders>
                  <w:shd w:val="clear" w:color="000000" w:fill="F9F9F9"/>
                  <w:noWrap/>
                  <w:vAlign w:val="center"/>
                  <w:hideMark/>
                </w:tcPr>
                <w:p w14:paraId="2C17CE5A" w14:textId="77777777" w:rsidR="004C3EFA" w:rsidRPr="000F1142" w:rsidRDefault="006F63F6" w:rsidP="004C3EFA">
                  <w:pPr>
                    <w:spacing w:after="0" w:line="240" w:lineRule="auto"/>
                    <w:rPr>
                      <w:rFonts w:ascii="Tahoma" w:eastAsia="Times New Roman" w:hAnsi="Tahoma" w:cs="Tahoma"/>
                      <w:i/>
                      <w:iCs/>
                      <w:color w:val="404040"/>
                      <w:sz w:val="20"/>
                      <w:szCs w:val="20"/>
                      <w:lang w:val="en-US"/>
                    </w:rPr>
                  </w:pPr>
                  <w:r>
                    <w:rPr>
                      <w:rFonts w:ascii="Tahoma" w:eastAsia="Tahoma" w:hAnsi="Tahoma" w:cs="Tahoma"/>
                      <w:i/>
                      <w:iCs/>
                      <w:color w:val="404040"/>
                      <w:sz w:val="20"/>
                      <w:szCs w:val="20"/>
                      <w:lang w:val="en-US"/>
                    </w:rPr>
                    <w:t>3.8</w:t>
                  </w:r>
                </w:p>
              </w:tc>
              <w:tc>
                <w:tcPr>
                  <w:tcW w:w="1276" w:type="dxa"/>
                  <w:tcBorders>
                    <w:top w:val="nil"/>
                    <w:left w:val="nil"/>
                    <w:bottom w:val="dotted" w:sz="4" w:space="0" w:color="808080"/>
                    <w:right w:val="nil"/>
                  </w:tcBorders>
                  <w:shd w:val="clear" w:color="000000" w:fill="F9F9F9"/>
                  <w:noWrap/>
                  <w:vAlign w:val="center"/>
                  <w:hideMark/>
                </w:tcPr>
                <w:p w14:paraId="2854227D" w14:textId="77777777" w:rsidR="004C3EFA" w:rsidRPr="000F1142" w:rsidRDefault="006F63F6" w:rsidP="004C3EFA">
                  <w:pPr>
                    <w:spacing w:after="0" w:line="240" w:lineRule="auto"/>
                    <w:rPr>
                      <w:rFonts w:ascii="Tahoma" w:eastAsia="Times New Roman" w:hAnsi="Tahoma" w:cs="Tahoma"/>
                      <w:i/>
                      <w:iCs/>
                      <w:color w:val="404040"/>
                      <w:sz w:val="20"/>
                      <w:szCs w:val="20"/>
                      <w:lang w:val="en-US"/>
                    </w:rPr>
                  </w:pPr>
                  <w:r>
                    <w:rPr>
                      <w:rFonts w:ascii="Tahoma" w:eastAsia="Tahoma" w:hAnsi="Tahoma" w:cs="Tahoma"/>
                      <w:i/>
                      <w:iCs/>
                      <w:color w:val="404040"/>
                      <w:sz w:val="20"/>
                      <w:szCs w:val="20"/>
                      <w:lang w:val="en-US"/>
                    </w:rPr>
                    <w:t>3.4</w:t>
                  </w:r>
                </w:p>
              </w:tc>
              <w:tc>
                <w:tcPr>
                  <w:tcW w:w="1417" w:type="dxa"/>
                  <w:tcBorders>
                    <w:top w:val="nil"/>
                    <w:left w:val="nil"/>
                    <w:bottom w:val="dotted" w:sz="4" w:space="0" w:color="808080"/>
                    <w:right w:val="nil"/>
                  </w:tcBorders>
                  <w:shd w:val="clear" w:color="000000" w:fill="F9F9F9"/>
                  <w:noWrap/>
                  <w:vAlign w:val="center"/>
                  <w:hideMark/>
                </w:tcPr>
                <w:p w14:paraId="3EBBCACC" w14:textId="77777777" w:rsidR="004C3EFA" w:rsidRPr="000F1142" w:rsidRDefault="006F63F6" w:rsidP="004C3EFA">
                  <w:pPr>
                    <w:spacing w:after="0" w:line="240" w:lineRule="auto"/>
                    <w:rPr>
                      <w:rFonts w:ascii="Tahoma" w:eastAsia="Times New Roman" w:hAnsi="Tahoma" w:cs="Tahoma"/>
                      <w:i/>
                      <w:iCs/>
                      <w:color w:val="404040"/>
                      <w:sz w:val="20"/>
                      <w:szCs w:val="20"/>
                      <w:lang w:val="en-US"/>
                    </w:rPr>
                  </w:pPr>
                  <w:r>
                    <w:rPr>
                      <w:rFonts w:ascii="Tahoma" w:eastAsia="Tahoma" w:hAnsi="Tahoma" w:cs="Tahoma"/>
                      <w:i/>
                      <w:iCs/>
                      <w:color w:val="404040"/>
                      <w:sz w:val="20"/>
                      <w:szCs w:val="20"/>
                      <w:lang w:val="en-US"/>
                    </w:rPr>
                    <w:t>11.8%</w:t>
                  </w:r>
                </w:p>
              </w:tc>
            </w:tr>
            <w:tr w:rsidR="00D9163E" w:rsidRPr="007713CB" w14:paraId="6091CEAB" w14:textId="77777777" w:rsidTr="004C3EFA">
              <w:trPr>
                <w:trHeight w:val="330"/>
              </w:trPr>
              <w:tc>
                <w:tcPr>
                  <w:tcW w:w="2734" w:type="dxa"/>
                  <w:tcBorders>
                    <w:top w:val="nil"/>
                    <w:left w:val="nil"/>
                    <w:bottom w:val="dotted" w:sz="4" w:space="0" w:color="808080"/>
                    <w:right w:val="nil"/>
                  </w:tcBorders>
                  <w:shd w:val="clear" w:color="000000" w:fill="F9F9F9"/>
                  <w:noWrap/>
                  <w:vAlign w:val="center"/>
                  <w:hideMark/>
                </w:tcPr>
                <w:p w14:paraId="06F56A48" w14:textId="77777777" w:rsidR="004C3EFA" w:rsidRPr="000F1142" w:rsidRDefault="006F63F6" w:rsidP="004C3EFA">
                  <w:pPr>
                    <w:spacing w:after="0" w:line="240" w:lineRule="auto"/>
                    <w:rPr>
                      <w:rFonts w:ascii="Tahoma" w:eastAsia="Times New Roman" w:hAnsi="Tahoma" w:cs="Tahoma"/>
                      <w:i/>
                      <w:iCs/>
                      <w:color w:val="404040"/>
                      <w:sz w:val="20"/>
                      <w:szCs w:val="20"/>
                      <w:lang w:val="en-US"/>
                    </w:rPr>
                  </w:pPr>
                  <w:r>
                    <w:rPr>
                      <w:rFonts w:ascii="Tahoma" w:eastAsia="Tahoma" w:hAnsi="Tahoma" w:cs="Tahoma"/>
                      <w:i/>
                      <w:iCs/>
                      <w:color w:val="404040"/>
                      <w:sz w:val="20"/>
                      <w:szCs w:val="20"/>
                      <w:lang w:val="en-US"/>
                    </w:rPr>
                    <w:t>Including railway</w:t>
                  </w:r>
                </w:p>
              </w:tc>
              <w:tc>
                <w:tcPr>
                  <w:tcW w:w="1417" w:type="dxa"/>
                  <w:tcBorders>
                    <w:top w:val="nil"/>
                    <w:left w:val="nil"/>
                    <w:bottom w:val="dotted" w:sz="4" w:space="0" w:color="808080"/>
                    <w:right w:val="nil"/>
                  </w:tcBorders>
                  <w:shd w:val="clear" w:color="000000" w:fill="F9F9F9"/>
                  <w:noWrap/>
                  <w:vAlign w:val="center"/>
                  <w:hideMark/>
                </w:tcPr>
                <w:p w14:paraId="0FFB0D46" w14:textId="77777777" w:rsidR="004C3EFA" w:rsidRPr="000F1142" w:rsidRDefault="006F63F6" w:rsidP="004C3EFA">
                  <w:pPr>
                    <w:spacing w:after="0" w:line="240" w:lineRule="auto"/>
                    <w:rPr>
                      <w:rFonts w:ascii="Tahoma" w:eastAsia="Times New Roman" w:hAnsi="Tahoma" w:cs="Tahoma"/>
                      <w:i/>
                      <w:iCs/>
                      <w:color w:val="404040"/>
                      <w:sz w:val="20"/>
                      <w:szCs w:val="20"/>
                      <w:lang w:val="en-US"/>
                    </w:rPr>
                  </w:pPr>
                  <w:r>
                    <w:rPr>
                      <w:rFonts w:ascii="Tahoma" w:eastAsia="Tahoma" w:hAnsi="Tahoma" w:cs="Tahoma"/>
                      <w:i/>
                      <w:iCs/>
                      <w:color w:val="404040"/>
                      <w:sz w:val="20"/>
                      <w:szCs w:val="20"/>
                      <w:lang w:val="en-US"/>
                    </w:rPr>
                    <w:t>0.9</w:t>
                  </w:r>
                </w:p>
              </w:tc>
              <w:tc>
                <w:tcPr>
                  <w:tcW w:w="1276" w:type="dxa"/>
                  <w:tcBorders>
                    <w:top w:val="nil"/>
                    <w:left w:val="nil"/>
                    <w:bottom w:val="dotted" w:sz="4" w:space="0" w:color="808080"/>
                    <w:right w:val="nil"/>
                  </w:tcBorders>
                  <w:shd w:val="clear" w:color="000000" w:fill="F9F9F9"/>
                  <w:noWrap/>
                  <w:vAlign w:val="center"/>
                  <w:hideMark/>
                </w:tcPr>
                <w:p w14:paraId="2D38E3FD" w14:textId="77777777" w:rsidR="004C3EFA" w:rsidRPr="000F1142" w:rsidRDefault="006F63F6" w:rsidP="004C3EFA">
                  <w:pPr>
                    <w:spacing w:after="0" w:line="240" w:lineRule="auto"/>
                    <w:rPr>
                      <w:rFonts w:ascii="Tahoma" w:eastAsia="Times New Roman" w:hAnsi="Tahoma" w:cs="Tahoma"/>
                      <w:i/>
                      <w:iCs/>
                      <w:color w:val="404040"/>
                      <w:sz w:val="20"/>
                      <w:szCs w:val="20"/>
                      <w:lang w:val="en-US"/>
                    </w:rPr>
                  </w:pPr>
                  <w:r>
                    <w:rPr>
                      <w:rFonts w:ascii="Tahoma" w:eastAsia="Tahoma" w:hAnsi="Tahoma" w:cs="Tahoma"/>
                      <w:i/>
                      <w:iCs/>
                      <w:color w:val="404040"/>
                      <w:sz w:val="20"/>
                      <w:szCs w:val="20"/>
                      <w:lang w:val="en-US"/>
                    </w:rPr>
                    <w:t>1.6</w:t>
                  </w:r>
                </w:p>
              </w:tc>
              <w:tc>
                <w:tcPr>
                  <w:tcW w:w="1417" w:type="dxa"/>
                  <w:tcBorders>
                    <w:top w:val="nil"/>
                    <w:left w:val="nil"/>
                    <w:bottom w:val="dotted" w:sz="4" w:space="0" w:color="808080"/>
                    <w:right w:val="nil"/>
                  </w:tcBorders>
                  <w:shd w:val="clear" w:color="000000" w:fill="F9F9F9"/>
                  <w:noWrap/>
                  <w:vAlign w:val="center"/>
                  <w:hideMark/>
                </w:tcPr>
                <w:p w14:paraId="7A8F252B" w14:textId="77777777" w:rsidR="004C3EFA" w:rsidRPr="000F1142" w:rsidRDefault="006F63F6" w:rsidP="004C3EFA">
                  <w:pPr>
                    <w:spacing w:after="0" w:line="240" w:lineRule="auto"/>
                    <w:rPr>
                      <w:rFonts w:ascii="Tahoma" w:eastAsia="Times New Roman" w:hAnsi="Tahoma" w:cs="Tahoma"/>
                      <w:i/>
                      <w:iCs/>
                      <w:color w:val="404040"/>
                      <w:sz w:val="20"/>
                      <w:szCs w:val="20"/>
                      <w:lang w:val="en-US"/>
                    </w:rPr>
                  </w:pPr>
                  <w:r>
                    <w:rPr>
                      <w:rFonts w:ascii="Tahoma" w:eastAsia="Tahoma" w:hAnsi="Tahoma" w:cs="Tahoma"/>
                      <w:i/>
                      <w:iCs/>
                      <w:color w:val="404040"/>
                      <w:sz w:val="20"/>
                      <w:szCs w:val="20"/>
                      <w:lang w:val="en-US"/>
                    </w:rPr>
                    <w:t>-45.7%</w:t>
                  </w:r>
                </w:p>
              </w:tc>
            </w:tr>
            <w:tr w:rsidR="00D9163E" w:rsidRPr="007713CB" w14:paraId="1F354741" w14:textId="77777777" w:rsidTr="004C3EFA">
              <w:trPr>
                <w:trHeight w:val="285"/>
              </w:trPr>
              <w:tc>
                <w:tcPr>
                  <w:tcW w:w="2734" w:type="dxa"/>
                  <w:tcBorders>
                    <w:top w:val="nil"/>
                    <w:left w:val="nil"/>
                    <w:bottom w:val="nil"/>
                    <w:right w:val="nil"/>
                  </w:tcBorders>
                  <w:shd w:val="clear" w:color="000000" w:fill="F2F2F2"/>
                  <w:noWrap/>
                  <w:vAlign w:val="center"/>
                  <w:hideMark/>
                </w:tcPr>
                <w:p w14:paraId="54B24D43" w14:textId="77777777" w:rsidR="004C3EFA" w:rsidRPr="000F1142" w:rsidRDefault="006F63F6" w:rsidP="004C3EFA">
                  <w:pPr>
                    <w:spacing w:after="0" w:line="240" w:lineRule="auto"/>
                    <w:rPr>
                      <w:rFonts w:ascii="Tahoma" w:eastAsia="Times New Roman" w:hAnsi="Tahoma" w:cs="Tahoma"/>
                      <w:color w:val="404040"/>
                      <w:lang w:val="en-US"/>
                    </w:rPr>
                  </w:pPr>
                  <w:r>
                    <w:rPr>
                      <w:rFonts w:ascii="Tahoma" w:eastAsia="Tahoma" w:hAnsi="Tahoma" w:cs="Tahoma"/>
                      <w:color w:val="404040"/>
                      <w:lang w:val="en-US"/>
                    </w:rPr>
                    <w:t>share</w:t>
                  </w:r>
                </w:p>
              </w:tc>
              <w:tc>
                <w:tcPr>
                  <w:tcW w:w="1417" w:type="dxa"/>
                  <w:tcBorders>
                    <w:top w:val="nil"/>
                    <w:left w:val="nil"/>
                    <w:bottom w:val="nil"/>
                    <w:right w:val="nil"/>
                  </w:tcBorders>
                  <w:shd w:val="clear" w:color="000000" w:fill="F2F2F2"/>
                  <w:noWrap/>
                  <w:vAlign w:val="center"/>
                  <w:hideMark/>
                </w:tcPr>
                <w:p w14:paraId="574AE6B2" w14:textId="77777777" w:rsidR="004C3EFA" w:rsidRPr="000F1142" w:rsidRDefault="006F63F6" w:rsidP="004C3EFA">
                  <w:pPr>
                    <w:spacing w:after="0" w:line="240" w:lineRule="auto"/>
                    <w:rPr>
                      <w:rFonts w:ascii="Tahoma" w:eastAsia="Times New Roman" w:hAnsi="Tahoma" w:cs="Tahoma"/>
                      <w:color w:val="404040"/>
                      <w:lang w:val="en-US"/>
                    </w:rPr>
                  </w:pPr>
                  <w:r>
                    <w:rPr>
                      <w:rFonts w:ascii="Tahoma" w:eastAsia="Tahoma" w:hAnsi="Tahoma" w:cs="Tahoma"/>
                      <w:color w:val="404040"/>
                      <w:lang w:val="en-US"/>
                    </w:rPr>
                    <w:t>44.4%</w:t>
                  </w:r>
                </w:p>
              </w:tc>
              <w:tc>
                <w:tcPr>
                  <w:tcW w:w="1276" w:type="dxa"/>
                  <w:tcBorders>
                    <w:top w:val="nil"/>
                    <w:left w:val="nil"/>
                    <w:bottom w:val="nil"/>
                    <w:right w:val="nil"/>
                  </w:tcBorders>
                  <w:shd w:val="clear" w:color="000000" w:fill="F2F2F2"/>
                  <w:noWrap/>
                  <w:vAlign w:val="center"/>
                  <w:hideMark/>
                </w:tcPr>
                <w:p w14:paraId="6F810EF5" w14:textId="77777777" w:rsidR="004C3EFA" w:rsidRPr="000F1142" w:rsidRDefault="006F63F6" w:rsidP="004C3EFA">
                  <w:pPr>
                    <w:spacing w:after="0" w:line="240" w:lineRule="auto"/>
                    <w:rPr>
                      <w:rFonts w:ascii="Tahoma" w:eastAsia="Times New Roman" w:hAnsi="Tahoma" w:cs="Tahoma"/>
                      <w:color w:val="404040"/>
                      <w:lang w:val="en-US"/>
                    </w:rPr>
                  </w:pPr>
                  <w:r>
                    <w:rPr>
                      <w:rFonts w:ascii="Tahoma" w:eastAsia="Tahoma" w:hAnsi="Tahoma" w:cs="Tahoma"/>
                      <w:color w:val="404040"/>
                      <w:lang w:val="en-US"/>
                    </w:rPr>
                    <w:t>46.2%</w:t>
                  </w:r>
                </w:p>
              </w:tc>
              <w:tc>
                <w:tcPr>
                  <w:tcW w:w="1417" w:type="dxa"/>
                  <w:tcBorders>
                    <w:top w:val="nil"/>
                    <w:left w:val="nil"/>
                    <w:bottom w:val="nil"/>
                    <w:right w:val="nil"/>
                  </w:tcBorders>
                  <w:shd w:val="clear" w:color="000000" w:fill="F2F2F2"/>
                  <w:noWrap/>
                  <w:vAlign w:val="center"/>
                  <w:hideMark/>
                </w:tcPr>
                <w:p w14:paraId="4527B41B" w14:textId="77777777" w:rsidR="004C3EFA" w:rsidRPr="000F1142" w:rsidRDefault="006F63F6" w:rsidP="004C3EFA">
                  <w:pPr>
                    <w:spacing w:after="0" w:line="240" w:lineRule="auto"/>
                    <w:rPr>
                      <w:rFonts w:ascii="Tahoma" w:eastAsia="Times New Roman" w:hAnsi="Tahoma" w:cs="Tahoma"/>
                      <w:color w:val="404040"/>
                      <w:lang w:val="en-US"/>
                    </w:rPr>
                  </w:pPr>
                  <w:r>
                    <w:rPr>
                      <w:rFonts w:ascii="Tahoma" w:eastAsia="Tahoma" w:hAnsi="Tahoma" w:cs="Tahoma"/>
                      <w:color w:val="404040"/>
                      <w:lang w:val="en-US"/>
                    </w:rPr>
                    <w:t>-1.8%</w:t>
                  </w:r>
                </w:p>
              </w:tc>
            </w:tr>
          </w:tbl>
          <w:p w14:paraId="59FB3B1D" w14:textId="77777777" w:rsidR="00F243DA" w:rsidRPr="000F1142" w:rsidRDefault="00F243DA" w:rsidP="00417A3F">
            <w:pPr>
              <w:spacing w:line="360" w:lineRule="auto"/>
              <w:jc w:val="both"/>
              <w:rPr>
                <w:rFonts w:ascii="Tahoma" w:eastAsia="Tahoma" w:hAnsi="Tahoma" w:cs="Tahoma"/>
                <w:bCs/>
                <w:color w:val="808080"/>
                <w:sz w:val="18"/>
                <w:szCs w:val="18"/>
                <w:highlight w:val="cyan"/>
                <w:lang w:val="en-US"/>
              </w:rPr>
            </w:pPr>
          </w:p>
          <w:p w14:paraId="1617B1B6" w14:textId="77777777" w:rsidR="0080729F" w:rsidRPr="000F1142" w:rsidRDefault="0080729F" w:rsidP="005B039B">
            <w:pPr>
              <w:spacing w:line="360" w:lineRule="auto"/>
              <w:jc w:val="both"/>
              <w:rPr>
                <w:rFonts w:ascii="Tahoma" w:eastAsia="Tahoma" w:hAnsi="Tahoma" w:cs="Tahoma"/>
                <w:bCs/>
                <w:color w:val="808080"/>
                <w:sz w:val="18"/>
                <w:szCs w:val="18"/>
                <w:highlight w:val="cyan"/>
                <w:lang w:val="en-US"/>
              </w:rPr>
            </w:pPr>
          </w:p>
          <w:p w14:paraId="2609555B" w14:textId="06543CE6" w:rsidR="00807471" w:rsidRPr="000F1142" w:rsidRDefault="006F63F6" w:rsidP="00807471">
            <w:pPr>
              <w:spacing w:line="360" w:lineRule="auto"/>
              <w:jc w:val="both"/>
              <w:rPr>
                <w:rFonts w:ascii="Tahoma" w:eastAsia="Tahoma" w:hAnsi="Tahoma" w:cs="Tahoma"/>
                <w:bCs/>
                <w:color w:val="808080"/>
                <w:sz w:val="18"/>
                <w:szCs w:val="18"/>
                <w:lang w:val="en-US"/>
              </w:rPr>
            </w:pPr>
            <w:r>
              <w:rPr>
                <w:rFonts w:ascii="Tahoma" w:eastAsia="Tahoma" w:hAnsi="Tahoma" w:cs="Tahoma"/>
                <w:bCs/>
                <w:color w:val="808080"/>
                <w:sz w:val="18"/>
                <w:szCs w:val="18"/>
                <w:lang w:val="en-US"/>
              </w:rPr>
              <w:t>Sales of the Budimex Group's construction segment in Q1 2024 amounted to ‎PLN 1,415 million (-17.9% year-on-year), recording an increase in both</w:t>
            </w:r>
            <w:r w:rsidR="00A25D83">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 xml:space="preserve">‎operating profitability (from 4.7% to 6.7%) and gross profitability (from ‎‎7.0% to 9.5%). ‎ </w:t>
            </w:r>
          </w:p>
          <w:p w14:paraId="4F1C4D6A" w14:textId="77777777" w:rsidR="00F243DA" w:rsidRPr="000F1142" w:rsidRDefault="00F243DA" w:rsidP="00807471">
            <w:pPr>
              <w:spacing w:line="360" w:lineRule="auto"/>
              <w:jc w:val="both"/>
              <w:rPr>
                <w:rFonts w:ascii="Tahoma" w:eastAsia="Tahoma" w:hAnsi="Tahoma" w:cs="Tahoma"/>
                <w:bCs/>
                <w:color w:val="808080"/>
                <w:sz w:val="18"/>
                <w:szCs w:val="18"/>
                <w:highlight w:val="cyan"/>
                <w:lang w:val="en-US"/>
              </w:rPr>
            </w:pPr>
          </w:p>
          <w:p w14:paraId="0BD2AEAF" w14:textId="77777777" w:rsidR="00807471" w:rsidRPr="000F1142" w:rsidRDefault="00807471" w:rsidP="00807471">
            <w:pPr>
              <w:spacing w:line="360" w:lineRule="auto"/>
              <w:jc w:val="both"/>
              <w:rPr>
                <w:rFonts w:ascii="Tahoma" w:eastAsia="Tahoma" w:hAnsi="Tahoma" w:cs="Tahoma"/>
                <w:bCs/>
                <w:color w:val="808080"/>
                <w:sz w:val="18"/>
                <w:szCs w:val="18"/>
                <w:highlight w:val="cyan"/>
                <w:lang w:val="en-US"/>
              </w:rPr>
            </w:pPr>
          </w:p>
          <w:tbl>
            <w:tblPr>
              <w:tblW w:w="6800" w:type="dxa"/>
              <w:tblLayout w:type="fixed"/>
              <w:tblCellMar>
                <w:left w:w="70" w:type="dxa"/>
                <w:right w:w="70" w:type="dxa"/>
              </w:tblCellMar>
              <w:tblLook w:val="04A0" w:firstRow="1" w:lastRow="0" w:firstColumn="1" w:lastColumn="0" w:noHBand="0" w:noVBand="1"/>
            </w:tblPr>
            <w:tblGrid>
              <w:gridCol w:w="2520"/>
              <w:gridCol w:w="1420"/>
              <w:gridCol w:w="1440"/>
              <w:gridCol w:w="1240"/>
              <w:gridCol w:w="180"/>
            </w:tblGrid>
            <w:tr w:rsidR="00D9163E" w:rsidRPr="007713CB" w14:paraId="70064B84" w14:textId="77777777" w:rsidTr="00F541BA">
              <w:trPr>
                <w:trHeight w:val="349"/>
              </w:trPr>
              <w:tc>
                <w:tcPr>
                  <w:tcW w:w="2520" w:type="dxa"/>
                  <w:vMerge w:val="restart"/>
                  <w:tcBorders>
                    <w:top w:val="nil"/>
                    <w:left w:val="nil"/>
                    <w:bottom w:val="nil"/>
                    <w:right w:val="nil"/>
                  </w:tcBorders>
                  <w:shd w:val="clear" w:color="000000" w:fill="595959"/>
                  <w:vAlign w:val="center"/>
                  <w:hideMark/>
                </w:tcPr>
                <w:p w14:paraId="2C841484" w14:textId="77777777" w:rsidR="00F541BA" w:rsidRPr="000F1142" w:rsidRDefault="006F63F6" w:rsidP="00F541BA">
                  <w:pPr>
                    <w:spacing w:after="0" w:line="240" w:lineRule="auto"/>
                    <w:rPr>
                      <w:rFonts w:ascii="Tahoma" w:eastAsia="Times New Roman" w:hAnsi="Tahoma" w:cs="Tahoma"/>
                      <w:b/>
                      <w:bCs/>
                      <w:color w:val="FFFFFF"/>
                      <w:lang w:val="en-US"/>
                    </w:rPr>
                  </w:pPr>
                  <w:r>
                    <w:rPr>
                      <w:rFonts w:ascii="Tahoma" w:eastAsia="Tahoma" w:hAnsi="Tahoma" w:cs="Tahoma"/>
                      <w:b/>
                      <w:bCs/>
                      <w:color w:val="FFFFFF"/>
                      <w:lang w:val="en-US"/>
                    </w:rPr>
                    <w:t xml:space="preserve">Construction segment </w:t>
                  </w:r>
                  <w:r>
                    <w:rPr>
                      <w:rFonts w:ascii="Tahoma" w:eastAsia="Tahoma" w:hAnsi="Tahoma" w:cs="Tahoma"/>
                      <w:b/>
                      <w:bCs/>
                      <w:color w:val="FFFFFF"/>
                      <w:lang w:val="en-US"/>
                    </w:rPr>
                    <w:br/>
                    <w:t>(PLN million)</w:t>
                  </w:r>
                  <w:r>
                    <w:rPr>
                      <w:rFonts w:ascii="Tahoma" w:eastAsia="Tahoma" w:hAnsi="Tahoma" w:cs="Tahoma"/>
                      <w:color w:val="FFFFFF"/>
                      <w:lang w:val="en-US"/>
                    </w:rPr>
                    <w:t xml:space="preserve">‎ </w:t>
                  </w:r>
                </w:p>
              </w:tc>
              <w:tc>
                <w:tcPr>
                  <w:tcW w:w="4100" w:type="dxa"/>
                  <w:gridSpan w:val="3"/>
                  <w:tcBorders>
                    <w:top w:val="nil"/>
                    <w:left w:val="nil"/>
                    <w:bottom w:val="single" w:sz="4" w:space="0" w:color="000000"/>
                    <w:right w:val="nil"/>
                  </w:tcBorders>
                  <w:shd w:val="clear" w:color="000000" w:fill="BFBFBF"/>
                  <w:noWrap/>
                  <w:vAlign w:val="center"/>
                  <w:hideMark/>
                </w:tcPr>
                <w:p w14:paraId="6213D47B" w14:textId="77777777" w:rsidR="00F541BA" w:rsidRPr="000F1142" w:rsidRDefault="006F63F6" w:rsidP="00F541BA">
                  <w:pPr>
                    <w:spacing w:after="0" w:line="240" w:lineRule="auto"/>
                    <w:jc w:val="center"/>
                    <w:rPr>
                      <w:rFonts w:ascii="Tahoma" w:eastAsia="Times New Roman" w:hAnsi="Tahoma" w:cs="Tahoma"/>
                      <w:b/>
                      <w:bCs/>
                      <w:color w:val="000000"/>
                      <w:lang w:val="en-US"/>
                    </w:rPr>
                  </w:pPr>
                  <w:r>
                    <w:rPr>
                      <w:rFonts w:ascii="Tahoma" w:eastAsia="Tahoma" w:hAnsi="Tahoma" w:cs="Tahoma"/>
                      <w:b/>
                      <w:bCs/>
                      <w:color w:val="000000"/>
                      <w:lang w:val="en-US"/>
                    </w:rPr>
                    <w:t>Profit and loss account</w:t>
                  </w:r>
                </w:p>
              </w:tc>
              <w:tc>
                <w:tcPr>
                  <w:tcW w:w="180" w:type="dxa"/>
                  <w:tcBorders>
                    <w:top w:val="nil"/>
                    <w:left w:val="nil"/>
                    <w:bottom w:val="nil"/>
                    <w:right w:val="nil"/>
                  </w:tcBorders>
                  <w:shd w:val="clear" w:color="000000" w:fill="BFBFBF"/>
                  <w:noWrap/>
                  <w:vAlign w:val="center"/>
                  <w:hideMark/>
                </w:tcPr>
                <w:p w14:paraId="2DCB6C4B" w14:textId="77777777" w:rsidR="00F541BA" w:rsidRPr="000F1142" w:rsidRDefault="006F63F6" w:rsidP="00F541BA">
                  <w:pPr>
                    <w:spacing w:after="0" w:line="240" w:lineRule="auto"/>
                    <w:jc w:val="center"/>
                    <w:rPr>
                      <w:rFonts w:ascii="Tahoma" w:eastAsia="Times New Roman" w:hAnsi="Tahoma" w:cs="Tahoma"/>
                      <w:b/>
                      <w:bCs/>
                      <w:color w:val="000000"/>
                      <w:lang w:val="en-US"/>
                    </w:rPr>
                  </w:pPr>
                  <w:r w:rsidRPr="000F1142">
                    <w:rPr>
                      <w:rFonts w:ascii="Tahoma" w:eastAsia="Times New Roman" w:hAnsi="Tahoma" w:cs="Tahoma"/>
                      <w:b/>
                      <w:bCs/>
                      <w:color w:val="000000"/>
                      <w:lang w:val="en-US"/>
                    </w:rPr>
                    <w:t> </w:t>
                  </w:r>
                </w:p>
              </w:tc>
            </w:tr>
            <w:tr w:rsidR="00D9163E" w:rsidRPr="007713CB" w14:paraId="69D20D4F" w14:textId="77777777" w:rsidTr="00F541BA">
              <w:trPr>
                <w:trHeight w:val="540"/>
              </w:trPr>
              <w:tc>
                <w:tcPr>
                  <w:tcW w:w="2520" w:type="dxa"/>
                  <w:vMerge/>
                  <w:tcBorders>
                    <w:top w:val="nil"/>
                    <w:left w:val="nil"/>
                    <w:bottom w:val="nil"/>
                    <w:right w:val="nil"/>
                  </w:tcBorders>
                  <w:vAlign w:val="center"/>
                  <w:hideMark/>
                </w:tcPr>
                <w:p w14:paraId="3C8BF1BA" w14:textId="77777777" w:rsidR="00F541BA" w:rsidRPr="000F1142" w:rsidRDefault="00F541BA" w:rsidP="00F541BA">
                  <w:pPr>
                    <w:spacing w:after="0" w:line="240" w:lineRule="auto"/>
                    <w:rPr>
                      <w:rFonts w:ascii="Tahoma" w:eastAsia="Times New Roman" w:hAnsi="Tahoma" w:cs="Tahoma"/>
                      <w:b/>
                      <w:bCs/>
                      <w:color w:val="FFFFFF"/>
                      <w:lang w:val="en-US"/>
                    </w:rPr>
                  </w:pPr>
                </w:p>
              </w:tc>
              <w:tc>
                <w:tcPr>
                  <w:tcW w:w="1420" w:type="dxa"/>
                  <w:tcBorders>
                    <w:top w:val="nil"/>
                    <w:left w:val="nil"/>
                    <w:bottom w:val="nil"/>
                    <w:right w:val="nil"/>
                  </w:tcBorders>
                  <w:shd w:val="clear" w:color="000000" w:fill="BFBFBF"/>
                  <w:vAlign w:val="center"/>
                  <w:hideMark/>
                </w:tcPr>
                <w:p w14:paraId="5FC54043" w14:textId="6E3A4F05" w:rsidR="00F541BA" w:rsidRPr="000F1142" w:rsidRDefault="000F1142" w:rsidP="00F541BA">
                  <w:pPr>
                    <w:spacing w:after="0" w:line="240" w:lineRule="auto"/>
                    <w:jc w:val="center"/>
                    <w:rPr>
                      <w:rFonts w:ascii="Tahoma" w:eastAsia="Times New Roman" w:hAnsi="Tahoma" w:cs="Tahoma"/>
                      <w:color w:val="000000"/>
                      <w:lang w:val="en-US"/>
                    </w:rPr>
                  </w:pPr>
                  <w:r>
                    <w:rPr>
                      <w:rFonts w:ascii="Tahoma" w:eastAsia="Tahoma" w:hAnsi="Tahoma" w:cs="Tahoma"/>
                      <w:color w:val="000000"/>
                      <w:lang w:val="en-US"/>
                    </w:rPr>
                    <w:t>Q1 2024</w:t>
                  </w:r>
                </w:p>
              </w:tc>
              <w:tc>
                <w:tcPr>
                  <w:tcW w:w="1440" w:type="dxa"/>
                  <w:tcBorders>
                    <w:top w:val="nil"/>
                    <w:left w:val="single" w:sz="4" w:space="0" w:color="000000"/>
                    <w:bottom w:val="single" w:sz="8" w:space="0" w:color="000000"/>
                    <w:right w:val="single" w:sz="4" w:space="0" w:color="000000"/>
                  </w:tcBorders>
                  <w:shd w:val="clear" w:color="000000" w:fill="BFBFBF"/>
                  <w:vAlign w:val="center"/>
                  <w:hideMark/>
                </w:tcPr>
                <w:p w14:paraId="2D3F466C" w14:textId="32691A94" w:rsidR="00F541BA" w:rsidRPr="000F1142" w:rsidRDefault="000F1142" w:rsidP="00F541BA">
                  <w:pPr>
                    <w:spacing w:after="0" w:line="240" w:lineRule="auto"/>
                    <w:jc w:val="center"/>
                    <w:rPr>
                      <w:rFonts w:ascii="Tahoma" w:eastAsia="Times New Roman" w:hAnsi="Tahoma" w:cs="Tahoma"/>
                      <w:color w:val="000000"/>
                      <w:lang w:val="en-US"/>
                    </w:rPr>
                  </w:pPr>
                  <w:r>
                    <w:rPr>
                      <w:rFonts w:ascii="Tahoma" w:eastAsia="Tahoma" w:hAnsi="Tahoma" w:cs="Tahoma"/>
                      <w:color w:val="000000"/>
                      <w:lang w:val="en-US"/>
                    </w:rPr>
                    <w:t>Q1 2023</w:t>
                  </w:r>
                </w:p>
              </w:tc>
              <w:tc>
                <w:tcPr>
                  <w:tcW w:w="1240" w:type="dxa"/>
                  <w:tcBorders>
                    <w:top w:val="nil"/>
                    <w:left w:val="nil"/>
                    <w:bottom w:val="single" w:sz="8" w:space="0" w:color="000000"/>
                    <w:right w:val="nil"/>
                  </w:tcBorders>
                  <w:shd w:val="clear" w:color="000000" w:fill="BFBFBF"/>
                  <w:noWrap/>
                  <w:vAlign w:val="center"/>
                  <w:hideMark/>
                </w:tcPr>
                <w:p w14:paraId="6F7D6F47" w14:textId="77777777" w:rsidR="00F541BA" w:rsidRPr="000F1142" w:rsidRDefault="006F63F6" w:rsidP="00F541BA">
                  <w:pPr>
                    <w:spacing w:after="0" w:line="240" w:lineRule="auto"/>
                    <w:jc w:val="center"/>
                    <w:rPr>
                      <w:rFonts w:ascii="Tahoma" w:eastAsia="Times New Roman" w:hAnsi="Tahoma" w:cs="Tahoma"/>
                      <w:color w:val="000000"/>
                      <w:lang w:val="en-US"/>
                    </w:rPr>
                  </w:pPr>
                  <w:r>
                    <w:rPr>
                      <w:rFonts w:ascii="Tahoma" w:eastAsia="Tahoma" w:hAnsi="Tahoma" w:cs="Tahoma"/>
                      <w:color w:val="000000"/>
                      <w:lang w:val="en-US"/>
                    </w:rPr>
                    <w:t>y/y</w:t>
                  </w:r>
                </w:p>
              </w:tc>
              <w:tc>
                <w:tcPr>
                  <w:tcW w:w="180" w:type="dxa"/>
                  <w:tcBorders>
                    <w:top w:val="nil"/>
                    <w:left w:val="nil"/>
                    <w:bottom w:val="nil"/>
                    <w:right w:val="nil"/>
                  </w:tcBorders>
                  <w:shd w:val="clear" w:color="000000" w:fill="BFBFBF"/>
                  <w:noWrap/>
                  <w:vAlign w:val="center"/>
                  <w:hideMark/>
                </w:tcPr>
                <w:p w14:paraId="3A22F306" w14:textId="77777777" w:rsidR="00F541BA" w:rsidRPr="000F1142" w:rsidRDefault="006F63F6" w:rsidP="00F541BA">
                  <w:pPr>
                    <w:spacing w:after="0" w:line="240" w:lineRule="auto"/>
                    <w:jc w:val="center"/>
                    <w:rPr>
                      <w:rFonts w:ascii="Tahoma" w:eastAsia="Times New Roman" w:hAnsi="Tahoma" w:cs="Tahoma"/>
                      <w:color w:val="000000"/>
                      <w:lang w:val="en-US"/>
                    </w:rPr>
                  </w:pPr>
                  <w:r w:rsidRPr="000F1142">
                    <w:rPr>
                      <w:rFonts w:ascii="Tahoma" w:eastAsia="Times New Roman" w:hAnsi="Tahoma" w:cs="Tahoma"/>
                      <w:color w:val="000000"/>
                      <w:lang w:val="en-US"/>
                    </w:rPr>
                    <w:t> </w:t>
                  </w:r>
                </w:p>
              </w:tc>
            </w:tr>
            <w:tr w:rsidR="00D9163E" w:rsidRPr="007713CB" w14:paraId="2B71D4B6" w14:textId="77777777" w:rsidTr="00F541BA">
              <w:trPr>
                <w:trHeight w:val="420"/>
              </w:trPr>
              <w:tc>
                <w:tcPr>
                  <w:tcW w:w="2520" w:type="dxa"/>
                  <w:tcBorders>
                    <w:top w:val="single" w:sz="8" w:space="0" w:color="auto"/>
                    <w:left w:val="nil"/>
                    <w:bottom w:val="nil"/>
                    <w:right w:val="nil"/>
                  </w:tcBorders>
                  <w:shd w:val="clear" w:color="000000" w:fill="FFC000"/>
                  <w:noWrap/>
                  <w:vAlign w:val="center"/>
                  <w:hideMark/>
                </w:tcPr>
                <w:p w14:paraId="3A5591A0" w14:textId="77777777" w:rsidR="00F541BA" w:rsidRPr="000F1142" w:rsidRDefault="006F63F6" w:rsidP="00F541BA">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Sales</w:t>
                  </w:r>
                </w:p>
              </w:tc>
              <w:tc>
                <w:tcPr>
                  <w:tcW w:w="1420" w:type="dxa"/>
                  <w:tcBorders>
                    <w:top w:val="single" w:sz="8" w:space="0" w:color="auto"/>
                    <w:left w:val="nil"/>
                    <w:bottom w:val="nil"/>
                    <w:right w:val="nil"/>
                  </w:tcBorders>
                  <w:shd w:val="clear" w:color="000000" w:fill="FFC000"/>
                  <w:noWrap/>
                  <w:vAlign w:val="center"/>
                  <w:hideMark/>
                </w:tcPr>
                <w:p w14:paraId="7FC07F9D" w14:textId="77777777" w:rsidR="00F541BA" w:rsidRPr="000F1142" w:rsidRDefault="006F63F6" w:rsidP="00F541BA">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1,415</w:t>
                  </w:r>
                </w:p>
              </w:tc>
              <w:tc>
                <w:tcPr>
                  <w:tcW w:w="1440" w:type="dxa"/>
                  <w:tcBorders>
                    <w:top w:val="nil"/>
                    <w:left w:val="nil"/>
                    <w:bottom w:val="nil"/>
                    <w:right w:val="nil"/>
                  </w:tcBorders>
                  <w:shd w:val="clear" w:color="000000" w:fill="FFC000"/>
                  <w:noWrap/>
                  <w:vAlign w:val="center"/>
                  <w:hideMark/>
                </w:tcPr>
                <w:p w14:paraId="16EC97BC" w14:textId="77777777" w:rsidR="00F541BA" w:rsidRPr="000F1142" w:rsidRDefault="006F63F6" w:rsidP="00F541BA">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1,724</w:t>
                  </w:r>
                </w:p>
              </w:tc>
              <w:tc>
                <w:tcPr>
                  <w:tcW w:w="1240" w:type="dxa"/>
                  <w:tcBorders>
                    <w:top w:val="nil"/>
                    <w:left w:val="nil"/>
                    <w:bottom w:val="single" w:sz="8" w:space="0" w:color="auto"/>
                    <w:right w:val="nil"/>
                  </w:tcBorders>
                  <w:shd w:val="clear" w:color="000000" w:fill="FFC000"/>
                  <w:noWrap/>
                  <w:vAlign w:val="center"/>
                  <w:hideMark/>
                </w:tcPr>
                <w:p w14:paraId="0D85B7C7" w14:textId="77777777" w:rsidR="00F541BA" w:rsidRPr="000F1142" w:rsidRDefault="006F63F6" w:rsidP="00F541BA">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-17.9%</w:t>
                  </w:r>
                </w:p>
              </w:tc>
              <w:tc>
                <w:tcPr>
                  <w:tcW w:w="180" w:type="dxa"/>
                  <w:tcBorders>
                    <w:top w:val="nil"/>
                    <w:left w:val="nil"/>
                    <w:bottom w:val="nil"/>
                    <w:right w:val="nil"/>
                  </w:tcBorders>
                  <w:shd w:val="clear" w:color="000000" w:fill="FFC000"/>
                  <w:noWrap/>
                  <w:vAlign w:val="center"/>
                  <w:hideMark/>
                </w:tcPr>
                <w:p w14:paraId="5DE814C6" w14:textId="77777777" w:rsidR="00F541BA" w:rsidRPr="000F1142" w:rsidRDefault="006F63F6" w:rsidP="00F541BA">
                  <w:pPr>
                    <w:spacing w:after="0" w:line="240" w:lineRule="auto"/>
                    <w:rPr>
                      <w:rFonts w:ascii="Tahoma" w:eastAsia="Times New Roman" w:hAnsi="Tahoma" w:cs="Tahoma"/>
                      <w:b/>
                      <w:bCs/>
                      <w:color w:val="404040"/>
                      <w:lang w:val="en-US"/>
                    </w:rPr>
                  </w:pPr>
                  <w:r w:rsidRPr="000F1142">
                    <w:rPr>
                      <w:rFonts w:ascii="Tahoma" w:eastAsia="Times New Roman" w:hAnsi="Tahoma" w:cs="Tahoma"/>
                      <w:b/>
                      <w:bCs/>
                      <w:color w:val="404040"/>
                      <w:lang w:val="en-US"/>
                    </w:rPr>
                    <w:t> </w:t>
                  </w:r>
                </w:p>
              </w:tc>
            </w:tr>
            <w:tr w:rsidR="00D9163E" w:rsidRPr="007713CB" w14:paraId="5F1142E7" w14:textId="77777777" w:rsidTr="00F541BA">
              <w:trPr>
                <w:trHeight w:val="420"/>
              </w:trPr>
              <w:tc>
                <w:tcPr>
                  <w:tcW w:w="2520" w:type="dxa"/>
                  <w:tcBorders>
                    <w:top w:val="single" w:sz="8" w:space="0" w:color="auto"/>
                    <w:left w:val="nil"/>
                    <w:bottom w:val="nil"/>
                    <w:right w:val="nil"/>
                  </w:tcBorders>
                  <w:shd w:val="clear" w:color="000000" w:fill="F2F2F2"/>
                  <w:noWrap/>
                  <w:vAlign w:val="center"/>
                  <w:hideMark/>
                </w:tcPr>
                <w:p w14:paraId="48FA095B" w14:textId="77777777" w:rsidR="00F541BA" w:rsidRPr="000F1142" w:rsidRDefault="006F63F6" w:rsidP="00F541BA">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‎Operating profit</w:t>
                  </w:r>
                </w:p>
              </w:tc>
              <w:tc>
                <w:tcPr>
                  <w:tcW w:w="1420" w:type="dxa"/>
                  <w:tcBorders>
                    <w:top w:val="single" w:sz="8" w:space="0" w:color="auto"/>
                    <w:left w:val="nil"/>
                    <w:bottom w:val="nil"/>
                    <w:right w:val="nil"/>
                  </w:tcBorders>
                  <w:shd w:val="clear" w:color="000000" w:fill="F2F2F2"/>
                  <w:noWrap/>
                  <w:vAlign w:val="center"/>
                  <w:hideMark/>
                </w:tcPr>
                <w:p w14:paraId="3B45CD96" w14:textId="77777777" w:rsidR="00F541BA" w:rsidRPr="000F1142" w:rsidRDefault="006F63F6" w:rsidP="00F541BA">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95</w:t>
                  </w:r>
                </w:p>
              </w:tc>
              <w:tc>
                <w:tcPr>
                  <w:tcW w:w="1440" w:type="dxa"/>
                  <w:tcBorders>
                    <w:top w:val="single" w:sz="8" w:space="0" w:color="auto"/>
                    <w:left w:val="nil"/>
                    <w:bottom w:val="nil"/>
                    <w:right w:val="nil"/>
                  </w:tcBorders>
                  <w:shd w:val="clear" w:color="000000" w:fill="F2F2F2"/>
                  <w:noWrap/>
                  <w:vAlign w:val="center"/>
                  <w:hideMark/>
                </w:tcPr>
                <w:p w14:paraId="7FECD20C" w14:textId="77777777" w:rsidR="00F541BA" w:rsidRPr="000F1142" w:rsidRDefault="006F63F6" w:rsidP="00F541BA">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81</w:t>
                  </w:r>
                </w:p>
              </w:tc>
              <w:tc>
                <w:tcPr>
                  <w:tcW w:w="1240" w:type="dxa"/>
                  <w:tcBorders>
                    <w:top w:val="nil"/>
                    <w:left w:val="nil"/>
                    <w:bottom w:val="nil"/>
                    <w:right w:val="nil"/>
                  </w:tcBorders>
                  <w:shd w:val="clear" w:color="000000" w:fill="F2F2F2"/>
                  <w:noWrap/>
                  <w:vAlign w:val="center"/>
                  <w:hideMark/>
                </w:tcPr>
                <w:p w14:paraId="3B431F67" w14:textId="77777777" w:rsidR="00F541BA" w:rsidRPr="000F1142" w:rsidRDefault="006F63F6" w:rsidP="00F541BA">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18.1%</w:t>
                  </w:r>
                </w:p>
              </w:tc>
              <w:tc>
                <w:tcPr>
                  <w:tcW w:w="180" w:type="dxa"/>
                  <w:tcBorders>
                    <w:top w:val="nil"/>
                    <w:left w:val="nil"/>
                    <w:bottom w:val="nil"/>
                    <w:right w:val="nil"/>
                  </w:tcBorders>
                  <w:shd w:val="clear" w:color="000000" w:fill="F2F2F2"/>
                  <w:noWrap/>
                  <w:vAlign w:val="center"/>
                  <w:hideMark/>
                </w:tcPr>
                <w:p w14:paraId="191894CD" w14:textId="77777777" w:rsidR="00F541BA" w:rsidRPr="000F1142" w:rsidRDefault="006F63F6" w:rsidP="00F541BA">
                  <w:pPr>
                    <w:spacing w:after="0" w:line="240" w:lineRule="auto"/>
                    <w:rPr>
                      <w:rFonts w:ascii="Tahoma" w:eastAsia="Times New Roman" w:hAnsi="Tahoma" w:cs="Tahoma"/>
                      <w:b/>
                      <w:bCs/>
                      <w:color w:val="404040"/>
                      <w:lang w:val="en-US"/>
                    </w:rPr>
                  </w:pPr>
                  <w:r w:rsidRPr="000F1142">
                    <w:rPr>
                      <w:rFonts w:ascii="Tahoma" w:eastAsia="Times New Roman" w:hAnsi="Tahoma" w:cs="Tahoma"/>
                      <w:b/>
                      <w:bCs/>
                      <w:color w:val="404040"/>
                      <w:lang w:val="en-US"/>
                    </w:rPr>
                    <w:t> </w:t>
                  </w:r>
                </w:p>
              </w:tc>
            </w:tr>
            <w:tr w:rsidR="00D9163E" w:rsidRPr="007713CB" w14:paraId="1C370E22" w14:textId="77777777" w:rsidTr="00F541BA">
              <w:trPr>
                <w:trHeight w:val="252"/>
              </w:trPr>
              <w:tc>
                <w:tcPr>
                  <w:tcW w:w="2520" w:type="dxa"/>
                  <w:tcBorders>
                    <w:top w:val="nil"/>
                    <w:left w:val="nil"/>
                    <w:bottom w:val="nil"/>
                    <w:right w:val="nil"/>
                  </w:tcBorders>
                  <w:shd w:val="clear" w:color="000000" w:fill="F2F2F2"/>
                  <w:noWrap/>
                  <w:vAlign w:val="center"/>
                  <w:hideMark/>
                </w:tcPr>
                <w:p w14:paraId="34408E3B" w14:textId="77777777" w:rsidR="00F541BA" w:rsidRPr="000F1142" w:rsidRDefault="006F63F6" w:rsidP="00F541BA">
                  <w:pPr>
                    <w:spacing w:after="0" w:line="240" w:lineRule="auto"/>
                    <w:rPr>
                      <w:rFonts w:ascii="Tahoma" w:eastAsia="Times New Roman" w:hAnsi="Tahoma" w:cs="Tahoma"/>
                      <w:color w:val="404040"/>
                      <w:lang w:val="en-US"/>
                    </w:rPr>
                  </w:pPr>
                  <w:r>
                    <w:rPr>
                      <w:rFonts w:ascii="Tahoma" w:eastAsia="Tahoma" w:hAnsi="Tahoma" w:cs="Tahoma"/>
                      <w:color w:val="404040"/>
                      <w:lang w:val="en-US"/>
                    </w:rPr>
                    <w:t xml:space="preserve">‎‎% of </w:t>
                  </w:r>
                  <w:r>
                    <w:rPr>
                      <w:rFonts w:ascii="Tahoma" w:eastAsia="Tahoma" w:hAnsi="Tahoma" w:cs="Tahoma"/>
                      <w:color w:val="404040"/>
                      <w:lang w:val="en-US"/>
                    </w:rPr>
                    <w:t>sales‎‎</w:t>
                  </w:r>
                </w:p>
              </w:tc>
              <w:tc>
                <w:tcPr>
                  <w:tcW w:w="1420" w:type="dxa"/>
                  <w:tcBorders>
                    <w:top w:val="nil"/>
                    <w:left w:val="nil"/>
                    <w:bottom w:val="single" w:sz="4" w:space="0" w:color="auto"/>
                    <w:right w:val="nil"/>
                  </w:tcBorders>
                  <w:shd w:val="clear" w:color="000000" w:fill="F2F2F2"/>
                  <w:noWrap/>
                  <w:vAlign w:val="center"/>
                  <w:hideMark/>
                </w:tcPr>
                <w:p w14:paraId="2B9D4002" w14:textId="77777777" w:rsidR="00F541BA" w:rsidRPr="000F1142" w:rsidRDefault="006F63F6" w:rsidP="00F541BA">
                  <w:pPr>
                    <w:spacing w:after="0" w:line="240" w:lineRule="auto"/>
                    <w:rPr>
                      <w:rFonts w:ascii="Tahoma" w:eastAsia="Times New Roman" w:hAnsi="Tahoma" w:cs="Tahoma"/>
                      <w:color w:val="404040"/>
                      <w:lang w:val="en-US"/>
                    </w:rPr>
                  </w:pPr>
                  <w:r>
                    <w:rPr>
                      <w:rFonts w:ascii="Tahoma" w:eastAsia="Tahoma" w:hAnsi="Tahoma" w:cs="Tahoma"/>
                      <w:color w:val="404040"/>
                      <w:lang w:val="en-US"/>
                    </w:rPr>
                    <w:t>6.7%</w:t>
                  </w:r>
                </w:p>
              </w:tc>
              <w:tc>
                <w:tcPr>
                  <w:tcW w:w="1440" w:type="dxa"/>
                  <w:tcBorders>
                    <w:top w:val="nil"/>
                    <w:left w:val="nil"/>
                    <w:bottom w:val="single" w:sz="4" w:space="0" w:color="auto"/>
                    <w:right w:val="nil"/>
                  </w:tcBorders>
                  <w:shd w:val="clear" w:color="000000" w:fill="F2F2F2"/>
                  <w:noWrap/>
                  <w:vAlign w:val="center"/>
                  <w:hideMark/>
                </w:tcPr>
                <w:p w14:paraId="4AAD46A5" w14:textId="77777777" w:rsidR="00F541BA" w:rsidRPr="000F1142" w:rsidRDefault="006F63F6" w:rsidP="00F541BA">
                  <w:pPr>
                    <w:spacing w:after="0" w:line="240" w:lineRule="auto"/>
                    <w:rPr>
                      <w:rFonts w:ascii="Tahoma" w:eastAsia="Times New Roman" w:hAnsi="Tahoma" w:cs="Tahoma"/>
                      <w:color w:val="404040"/>
                      <w:lang w:val="en-US"/>
                    </w:rPr>
                  </w:pPr>
                  <w:r>
                    <w:rPr>
                      <w:rFonts w:ascii="Tahoma" w:eastAsia="Tahoma" w:hAnsi="Tahoma" w:cs="Tahoma"/>
                      <w:color w:val="404040"/>
                      <w:lang w:val="en-US"/>
                    </w:rPr>
                    <w:t>4.7%</w:t>
                  </w:r>
                </w:p>
              </w:tc>
              <w:tc>
                <w:tcPr>
                  <w:tcW w:w="1240" w:type="dxa"/>
                  <w:tcBorders>
                    <w:top w:val="nil"/>
                    <w:left w:val="nil"/>
                    <w:bottom w:val="nil"/>
                    <w:right w:val="nil"/>
                  </w:tcBorders>
                  <w:shd w:val="clear" w:color="000000" w:fill="F2F2F2"/>
                  <w:noWrap/>
                  <w:vAlign w:val="center"/>
                  <w:hideMark/>
                </w:tcPr>
                <w:p w14:paraId="747C1170" w14:textId="77777777" w:rsidR="00F541BA" w:rsidRPr="000F1142" w:rsidRDefault="006F63F6" w:rsidP="00F541BA">
                  <w:pPr>
                    <w:spacing w:after="0" w:line="240" w:lineRule="auto"/>
                    <w:rPr>
                      <w:rFonts w:ascii="Tahoma" w:eastAsia="Times New Roman" w:hAnsi="Tahoma" w:cs="Tahoma"/>
                      <w:color w:val="404040"/>
                      <w:lang w:val="en-US"/>
                    </w:rPr>
                  </w:pPr>
                  <w:r>
                    <w:rPr>
                      <w:rFonts w:ascii="Tahoma" w:eastAsia="Tahoma" w:hAnsi="Tahoma" w:cs="Tahoma"/>
                      <w:color w:val="404040"/>
                      <w:lang w:val="en-US"/>
                    </w:rPr>
                    <w:t>2.0% pp.</w:t>
                  </w:r>
                </w:p>
              </w:tc>
              <w:tc>
                <w:tcPr>
                  <w:tcW w:w="180" w:type="dxa"/>
                  <w:tcBorders>
                    <w:top w:val="nil"/>
                    <w:left w:val="nil"/>
                    <w:bottom w:val="nil"/>
                    <w:right w:val="nil"/>
                  </w:tcBorders>
                  <w:shd w:val="clear" w:color="000000" w:fill="F2F2F2"/>
                  <w:noWrap/>
                  <w:vAlign w:val="center"/>
                  <w:hideMark/>
                </w:tcPr>
                <w:p w14:paraId="56B5EC4C" w14:textId="77777777" w:rsidR="00F541BA" w:rsidRPr="000F1142" w:rsidRDefault="006F63F6" w:rsidP="00F541BA">
                  <w:pPr>
                    <w:spacing w:after="0" w:line="240" w:lineRule="auto"/>
                    <w:rPr>
                      <w:rFonts w:ascii="Tahoma" w:eastAsia="Times New Roman" w:hAnsi="Tahoma" w:cs="Tahoma"/>
                      <w:color w:val="404040"/>
                      <w:lang w:val="en-US"/>
                    </w:rPr>
                  </w:pPr>
                  <w:r w:rsidRPr="000F1142">
                    <w:rPr>
                      <w:rFonts w:ascii="Tahoma" w:eastAsia="Times New Roman" w:hAnsi="Tahoma" w:cs="Tahoma"/>
                      <w:color w:val="404040"/>
                      <w:lang w:val="en-US"/>
                    </w:rPr>
                    <w:t> </w:t>
                  </w:r>
                </w:p>
              </w:tc>
            </w:tr>
            <w:tr w:rsidR="00D9163E" w:rsidRPr="007713CB" w14:paraId="06FCFF1C" w14:textId="77777777" w:rsidTr="00F541BA">
              <w:trPr>
                <w:trHeight w:val="420"/>
              </w:trPr>
              <w:tc>
                <w:tcPr>
                  <w:tcW w:w="2520" w:type="dxa"/>
                  <w:tcBorders>
                    <w:top w:val="single" w:sz="4" w:space="0" w:color="auto"/>
                    <w:left w:val="nil"/>
                    <w:bottom w:val="nil"/>
                    <w:right w:val="nil"/>
                  </w:tcBorders>
                  <w:shd w:val="clear" w:color="000000" w:fill="F2F2F2"/>
                  <w:noWrap/>
                  <w:vAlign w:val="center"/>
                  <w:hideMark/>
                </w:tcPr>
                <w:p w14:paraId="0725DEC2" w14:textId="77777777" w:rsidR="00F541BA" w:rsidRPr="000F1142" w:rsidRDefault="006F63F6" w:rsidP="00F541BA">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Gross profit</w:t>
                  </w:r>
                </w:p>
              </w:tc>
              <w:tc>
                <w:tcPr>
                  <w:tcW w:w="1420" w:type="dxa"/>
                  <w:tcBorders>
                    <w:top w:val="nil"/>
                    <w:left w:val="nil"/>
                    <w:bottom w:val="nil"/>
                    <w:right w:val="nil"/>
                  </w:tcBorders>
                  <w:shd w:val="clear" w:color="000000" w:fill="F2F2F2"/>
                  <w:noWrap/>
                  <w:vAlign w:val="center"/>
                  <w:hideMark/>
                </w:tcPr>
                <w:p w14:paraId="52DF78FD" w14:textId="77777777" w:rsidR="00F541BA" w:rsidRPr="000F1142" w:rsidRDefault="006F63F6" w:rsidP="00F541BA">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135</w:t>
                  </w:r>
                </w:p>
              </w:tc>
              <w:tc>
                <w:tcPr>
                  <w:tcW w:w="1440" w:type="dxa"/>
                  <w:tcBorders>
                    <w:top w:val="nil"/>
                    <w:left w:val="nil"/>
                    <w:bottom w:val="nil"/>
                    <w:right w:val="nil"/>
                  </w:tcBorders>
                  <w:shd w:val="clear" w:color="000000" w:fill="F2F2F2"/>
                  <w:noWrap/>
                  <w:vAlign w:val="center"/>
                  <w:hideMark/>
                </w:tcPr>
                <w:p w14:paraId="62316ACF" w14:textId="77777777" w:rsidR="00F541BA" w:rsidRPr="000F1142" w:rsidRDefault="006F63F6" w:rsidP="00F541BA">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121</w:t>
                  </w:r>
                </w:p>
              </w:tc>
              <w:tc>
                <w:tcPr>
                  <w:tcW w:w="1240" w:type="dxa"/>
                  <w:tcBorders>
                    <w:top w:val="single" w:sz="4" w:space="0" w:color="auto"/>
                    <w:left w:val="nil"/>
                    <w:bottom w:val="nil"/>
                    <w:right w:val="nil"/>
                  </w:tcBorders>
                  <w:shd w:val="clear" w:color="000000" w:fill="F2F2F2"/>
                  <w:noWrap/>
                  <w:vAlign w:val="center"/>
                  <w:hideMark/>
                </w:tcPr>
                <w:p w14:paraId="1CDB6C6E" w14:textId="77777777" w:rsidR="00F541BA" w:rsidRPr="000F1142" w:rsidRDefault="006F63F6" w:rsidP="00F541BA">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11.3%</w:t>
                  </w:r>
                </w:p>
              </w:tc>
              <w:tc>
                <w:tcPr>
                  <w:tcW w:w="180" w:type="dxa"/>
                  <w:tcBorders>
                    <w:top w:val="nil"/>
                    <w:left w:val="nil"/>
                    <w:bottom w:val="nil"/>
                    <w:right w:val="nil"/>
                  </w:tcBorders>
                  <w:shd w:val="clear" w:color="000000" w:fill="F2F2F2"/>
                  <w:noWrap/>
                  <w:vAlign w:val="center"/>
                  <w:hideMark/>
                </w:tcPr>
                <w:p w14:paraId="28DB7AA6" w14:textId="77777777" w:rsidR="00F541BA" w:rsidRPr="000F1142" w:rsidRDefault="006F63F6" w:rsidP="00F541BA">
                  <w:pPr>
                    <w:spacing w:after="0" w:line="240" w:lineRule="auto"/>
                    <w:rPr>
                      <w:rFonts w:ascii="Tahoma" w:eastAsia="Times New Roman" w:hAnsi="Tahoma" w:cs="Tahoma"/>
                      <w:b/>
                      <w:bCs/>
                      <w:color w:val="404040"/>
                      <w:lang w:val="en-US"/>
                    </w:rPr>
                  </w:pPr>
                  <w:r w:rsidRPr="000F1142">
                    <w:rPr>
                      <w:rFonts w:ascii="Tahoma" w:eastAsia="Times New Roman" w:hAnsi="Tahoma" w:cs="Tahoma"/>
                      <w:b/>
                      <w:bCs/>
                      <w:color w:val="404040"/>
                      <w:lang w:val="en-US"/>
                    </w:rPr>
                    <w:t> </w:t>
                  </w:r>
                </w:p>
              </w:tc>
            </w:tr>
            <w:tr w:rsidR="00D9163E" w:rsidRPr="007713CB" w14:paraId="741280C3" w14:textId="77777777" w:rsidTr="00F541BA">
              <w:trPr>
                <w:trHeight w:val="252"/>
              </w:trPr>
              <w:tc>
                <w:tcPr>
                  <w:tcW w:w="2520" w:type="dxa"/>
                  <w:tcBorders>
                    <w:top w:val="nil"/>
                    <w:left w:val="nil"/>
                    <w:bottom w:val="nil"/>
                    <w:right w:val="nil"/>
                  </w:tcBorders>
                  <w:shd w:val="clear" w:color="000000" w:fill="F2F2F2"/>
                  <w:noWrap/>
                  <w:vAlign w:val="center"/>
                  <w:hideMark/>
                </w:tcPr>
                <w:p w14:paraId="32D38F9E" w14:textId="77777777" w:rsidR="00F541BA" w:rsidRPr="000F1142" w:rsidRDefault="006F63F6" w:rsidP="00F541BA">
                  <w:pPr>
                    <w:spacing w:after="0" w:line="240" w:lineRule="auto"/>
                    <w:rPr>
                      <w:rFonts w:ascii="Tahoma" w:eastAsia="Times New Roman" w:hAnsi="Tahoma" w:cs="Tahoma"/>
                      <w:color w:val="404040"/>
                      <w:lang w:val="en-US"/>
                    </w:rPr>
                  </w:pPr>
                  <w:r>
                    <w:rPr>
                      <w:rFonts w:ascii="Tahoma" w:eastAsia="Tahoma" w:hAnsi="Tahoma" w:cs="Tahoma"/>
                      <w:color w:val="404040"/>
                      <w:lang w:val="en-US"/>
                    </w:rPr>
                    <w:t>‎‎% of sales‎‎</w:t>
                  </w:r>
                </w:p>
              </w:tc>
              <w:tc>
                <w:tcPr>
                  <w:tcW w:w="1420" w:type="dxa"/>
                  <w:tcBorders>
                    <w:top w:val="nil"/>
                    <w:left w:val="nil"/>
                    <w:bottom w:val="nil"/>
                    <w:right w:val="nil"/>
                  </w:tcBorders>
                  <w:shd w:val="clear" w:color="000000" w:fill="F2F2F2"/>
                  <w:noWrap/>
                  <w:vAlign w:val="center"/>
                  <w:hideMark/>
                </w:tcPr>
                <w:p w14:paraId="79396DF2" w14:textId="77777777" w:rsidR="00F541BA" w:rsidRPr="000F1142" w:rsidRDefault="006F63F6" w:rsidP="00F541BA">
                  <w:pPr>
                    <w:spacing w:after="0" w:line="240" w:lineRule="auto"/>
                    <w:rPr>
                      <w:rFonts w:ascii="Tahoma" w:eastAsia="Times New Roman" w:hAnsi="Tahoma" w:cs="Tahoma"/>
                      <w:color w:val="404040"/>
                      <w:lang w:val="en-US"/>
                    </w:rPr>
                  </w:pPr>
                  <w:r>
                    <w:rPr>
                      <w:rFonts w:ascii="Tahoma" w:eastAsia="Tahoma" w:hAnsi="Tahoma" w:cs="Tahoma"/>
                      <w:color w:val="404040"/>
                      <w:lang w:val="en-US"/>
                    </w:rPr>
                    <w:t>9.5%</w:t>
                  </w:r>
                </w:p>
              </w:tc>
              <w:tc>
                <w:tcPr>
                  <w:tcW w:w="1440" w:type="dxa"/>
                  <w:tcBorders>
                    <w:top w:val="nil"/>
                    <w:left w:val="nil"/>
                    <w:bottom w:val="nil"/>
                    <w:right w:val="nil"/>
                  </w:tcBorders>
                  <w:shd w:val="clear" w:color="000000" w:fill="F2F2F2"/>
                  <w:noWrap/>
                  <w:vAlign w:val="center"/>
                  <w:hideMark/>
                </w:tcPr>
                <w:p w14:paraId="2B3BDD0B" w14:textId="77777777" w:rsidR="00F541BA" w:rsidRPr="000F1142" w:rsidRDefault="006F63F6" w:rsidP="00F541BA">
                  <w:pPr>
                    <w:spacing w:after="0" w:line="240" w:lineRule="auto"/>
                    <w:rPr>
                      <w:rFonts w:ascii="Tahoma" w:eastAsia="Times New Roman" w:hAnsi="Tahoma" w:cs="Tahoma"/>
                      <w:color w:val="404040"/>
                      <w:lang w:val="en-US"/>
                    </w:rPr>
                  </w:pPr>
                  <w:r>
                    <w:rPr>
                      <w:rFonts w:ascii="Tahoma" w:eastAsia="Tahoma" w:hAnsi="Tahoma" w:cs="Tahoma"/>
                      <w:color w:val="404040"/>
                      <w:lang w:val="en-US"/>
                    </w:rPr>
                    <w:t>7.0%</w:t>
                  </w:r>
                </w:p>
              </w:tc>
              <w:tc>
                <w:tcPr>
                  <w:tcW w:w="1240" w:type="dxa"/>
                  <w:tcBorders>
                    <w:top w:val="nil"/>
                    <w:left w:val="nil"/>
                    <w:bottom w:val="nil"/>
                    <w:right w:val="nil"/>
                  </w:tcBorders>
                  <w:shd w:val="clear" w:color="000000" w:fill="F2F2F2"/>
                  <w:noWrap/>
                  <w:vAlign w:val="center"/>
                  <w:hideMark/>
                </w:tcPr>
                <w:p w14:paraId="329BB9DA" w14:textId="77777777" w:rsidR="00F541BA" w:rsidRPr="000F1142" w:rsidRDefault="006F63F6" w:rsidP="00F541BA">
                  <w:pPr>
                    <w:spacing w:after="0" w:line="240" w:lineRule="auto"/>
                    <w:rPr>
                      <w:rFonts w:ascii="Tahoma" w:eastAsia="Times New Roman" w:hAnsi="Tahoma" w:cs="Tahoma"/>
                      <w:color w:val="404040"/>
                      <w:lang w:val="en-US"/>
                    </w:rPr>
                  </w:pPr>
                  <w:r>
                    <w:rPr>
                      <w:rFonts w:ascii="Tahoma" w:eastAsia="Tahoma" w:hAnsi="Tahoma" w:cs="Tahoma"/>
                      <w:color w:val="404040"/>
                      <w:lang w:val="en-US"/>
                    </w:rPr>
                    <w:t>2.5% pp.</w:t>
                  </w:r>
                </w:p>
              </w:tc>
              <w:tc>
                <w:tcPr>
                  <w:tcW w:w="180" w:type="dxa"/>
                  <w:tcBorders>
                    <w:top w:val="nil"/>
                    <w:left w:val="nil"/>
                    <w:bottom w:val="nil"/>
                    <w:right w:val="nil"/>
                  </w:tcBorders>
                  <w:shd w:val="clear" w:color="000000" w:fill="F2F2F2"/>
                  <w:noWrap/>
                  <w:vAlign w:val="center"/>
                  <w:hideMark/>
                </w:tcPr>
                <w:p w14:paraId="1B35A548" w14:textId="77777777" w:rsidR="00F541BA" w:rsidRPr="000F1142" w:rsidRDefault="006F63F6" w:rsidP="00F541BA">
                  <w:pPr>
                    <w:spacing w:after="0" w:line="240" w:lineRule="auto"/>
                    <w:rPr>
                      <w:rFonts w:ascii="Tahoma" w:eastAsia="Times New Roman" w:hAnsi="Tahoma" w:cs="Tahoma"/>
                      <w:color w:val="404040"/>
                      <w:lang w:val="en-US"/>
                    </w:rPr>
                  </w:pPr>
                  <w:r w:rsidRPr="000F1142">
                    <w:rPr>
                      <w:rFonts w:ascii="Tahoma" w:eastAsia="Times New Roman" w:hAnsi="Tahoma" w:cs="Tahoma"/>
                      <w:color w:val="404040"/>
                      <w:lang w:val="en-US"/>
                    </w:rPr>
                    <w:t> </w:t>
                  </w:r>
                </w:p>
              </w:tc>
            </w:tr>
            <w:tr w:rsidR="00D9163E" w:rsidRPr="007713CB" w14:paraId="674B1B71" w14:textId="77777777" w:rsidTr="00F541BA">
              <w:trPr>
                <w:trHeight w:val="503"/>
              </w:trPr>
              <w:tc>
                <w:tcPr>
                  <w:tcW w:w="2520" w:type="dxa"/>
                  <w:tcBorders>
                    <w:top w:val="single" w:sz="4" w:space="0" w:color="auto"/>
                    <w:left w:val="nil"/>
                    <w:bottom w:val="nil"/>
                    <w:right w:val="nil"/>
                  </w:tcBorders>
                  <w:shd w:val="clear" w:color="000000" w:fill="F2F2F2"/>
                  <w:vAlign w:val="center"/>
                  <w:hideMark/>
                </w:tcPr>
                <w:p w14:paraId="04E2AF3B" w14:textId="77777777" w:rsidR="00F541BA" w:rsidRPr="000F1142" w:rsidRDefault="006F63F6" w:rsidP="00F541BA">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Order book</w:t>
                  </w:r>
                </w:p>
              </w:tc>
              <w:tc>
                <w:tcPr>
                  <w:tcW w:w="1420" w:type="dxa"/>
                  <w:tcBorders>
                    <w:top w:val="single" w:sz="4" w:space="0" w:color="auto"/>
                    <w:left w:val="nil"/>
                    <w:bottom w:val="nil"/>
                    <w:right w:val="nil"/>
                  </w:tcBorders>
                  <w:shd w:val="clear" w:color="000000" w:fill="F2F2F2"/>
                  <w:noWrap/>
                  <w:vAlign w:val="center"/>
                  <w:hideMark/>
                </w:tcPr>
                <w:p w14:paraId="07691D9D" w14:textId="77777777" w:rsidR="00F541BA" w:rsidRPr="000F1142" w:rsidRDefault="006F63F6" w:rsidP="00F541BA">
                  <w:pPr>
                    <w:spacing w:after="0" w:line="240" w:lineRule="auto"/>
                    <w:rPr>
                      <w:rFonts w:ascii="Tahoma" w:eastAsia="Times New Roman" w:hAnsi="Tahoma" w:cs="Tahoma"/>
                      <w:color w:val="404040"/>
                      <w:lang w:val="en-US"/>
                    </w:rPr>
                  </w:pPr>
                  <w:r>
                    <w:rPr>
                      <w:rFonts w:ascii="Tahoma" w:eastAsia="Tahoma" w:hAnsi="Tahoma" w:cs="Tahoma"/>
                      <w:color w:val="404040"/>
                      <w:lang w:val="en-US"/>
                    </w:rPr>
                    <w:t>14,645</w:t>
                  </w:r>
                </w:p>
              </w:tc>
              <w:tc>
                <w:tcPr>
                  <w:tcW w:w="1440" w:type="dxa"/>
                  <w:tcBorders>
                    <w:top w:val="single" w:sz="4" w:space="0" w:color="auto"/>
                    <w:left w:val="nil"/>
                    <w:bottom w:val="nil"/>
                    <w:right w:val="nil"/>
                  </w:tcBorders>
                  <w:shd w:val="clear" w:color="000000" w:fill="F2F2F2"/>
                  <w:noWrap/>
                  <w:vAlign w:val="center"/>
                  <w:hideMark/>
                </w:tcPr>
                <w:p w14:paraId="66A1C5D5" w14:textId="77777777" w:rsidR="00F541BA" w:rsidRPr="000F1142" w:rsidRDefault="006F63F6" w:rsidP="00F541BA">
                  <w:pPr>
                    <w:spacing w:after="0" w:line="240" w:lineRule="auto"/>
                    <w:rPr>
                      <w:rFonts w:ascii="Tahoma" w:eastAsia="Times New Roman" w:hAnsi="Tahoma" w:cs="Tahoma"/>
                      <w:color w:val="404040"/>
                      <w:lang w:val="en-US"/>
                    </w:rPr>
                  </w:pPr>
                  <w:r>
                    <w:rPr>
                      <w:rFonts w:ascii="Tahoma" w:eastAsia="Tahoma" w:hAnsi="Tahoma" w:cs="Tahoma"/>
                      <w:color w:val="404040"/>
                      <w:lang w:val="en-US"/>
                    </w:rPr>
                    <w:t>13,170</w:t>
                  </w:r>
                </w:p>
              </w:tc>
              <w:tc>
                <w:tcPr>
                  <w:tcW w:w="1240" w:type="dxa"/>
                  <w:tcBorders>
                    <w:top w:val="single" w:sz="4" w:space="0" w:color="auto"/>
                    <w:left w:val="nil"/>
                    <w:bottom w:val="nil"/>
                    <w:right w:val="nil"/>
                  </w:tcBorders>
                  <w:shd w:val="clear" w:color="000000" w:fill="F2F2F2"/>
                  <w:noWrap/>
                  <w:vAlign w:val="center"/>
                  <w:hideMark/>
                </w:tcPr>
                <w:p w14:paraId="672F6640" w14:textId="77777777" w:rsidR="00F541BA" w:rsidRPr="000F1142" w:rsidRDefault="006F63F6" w:rsidP="00F541BA">
                  <w:pPr>
                    <w:spacing w:after="0" w:line="240" w:lineRule="auto"/>
                    <w:rPr>
                      <w:rFonts w:ascii="Tahoma" w:eastAsia="Times New Roman" w:hAnsi="Tahoma" w:cs="Tahoma"/>
                      <w:color w:val="404040"/>
                      <w:lang w:val="en-US"/>
                    </w:rPr>
                  </w:pPr>
                  <w:r>
                    <w:rPr>
                      <w:rFonts w:ascii="Tahoma" w:eastAsia="Tahoma" w:hAnsi="Tahoma" w:cs="Tahoma"/>
                      <w:color w:val="404040"/>
                      <w:lang w:val="en-US"/>
                    </w:rPr>
                    <w:t>11.2%</w:t>
                  </w:r>
                </w:p>
              </w:tc>
              <w:tc>
                <w:tcPr>
                  <w:tcW w:w="180" w:type="dxa"/>
                  <w:tcBorders>
                    <w:top w:val="nil"/>
                    <w:left w:val="nil"/>
                    <w:bottom w:val="nil"/>
                    <w:right w:val="nil"/>
                  </w:tcBorders>
                  <w:shd w:val="clear" w:color="000000" w:fill="F2F2F2"/>
                  <w:noWrap/>
                  <w:vAlign w:val="center"/>
                  <w:hideMark/>
                </w:tcPr>
                <w:p w14:paraId="20729858" w14:textId="77777777" w:rsidR="00F541BA" w:rsidRPr="000F1142" w:rsidRDefault="006F63F6" w:rsidP="00F541BA">
                  <w:pPr>
                    <w:spacing w:after="0" w:line="240" w:lineRule="auto"/>
                    <w:rPr>
                      <w:rFonts w:ascii="Tahoma" w:eastAsia="Times New Roman" w:hAnsi="Tahoma" w:cs="Tahoma"/>
                      <w:color w:val="404040"/>
                      <w:lang w:val="en-US"/>
                    </w:rPr>
                  </w:pPr>
                  <w:r w:rsidRPr="000F1142">
                    <w:rPr>
                      <w:rFonts w:ascii="Tahoma" w:eastAsia="Times New Roman" w:hAnsi="Tahoma" w:cs="Tahoma"/>
                      <w:color w:val="404040"/>
                      <w:lang w:val="en-US"/>
                    </w:rPr>
                    <w:t> </w:t>
                  </w:r>
                </w:p>
              </w:tc>
            </w:tr>
            <w:tr w:rsidR="00D9163E" w:rsidRPr="007713CB" w14:paraId="62B2363F" w14:textId="77777777" w:rsidTr="00F541BA">
              <w:trPr>
                <w:trHeight w:val="503"/>
              </w:trPr>
              <w:tc>
                <w:tcPr>
                  <w:tcW w:w="2520" w:type="dxa"/>
                  <w:tcBorders>
                    <w:top w:val="single" w:sz="4" w:space="0" w:color="auto"/>
                    <w:left w:val="nil"/>
                    <w:bottom w:val="nil"/>
                    <w:right w:val="nil"/>
                  </w:tcBorders>
                  <w:shd w:val="clear" w:color="000000" w:fill="F2F2F2"/>
                  <w:noWrap/>
                  <w:vAlign w:val="center"/>
                  <w:hideMark/>
                </w:tcPr>
                <w:p w14:paraId="4768B616" w14:textId="77777777" w:rsidR="00F541BA" w:rsidRPr="000F1142" w:rsidRDefault="006F63F6" w:rsidP="00F541BA">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Contracts signed</w:t>
                  </w:r>
                </w:p>
              </w:tc>
              <w:tc>
                <w:tcPr>
                  <w:tcW w:w="1420" w:type="dxa"/>
                  <w:tcBorders>
                    <w:top w:val="single" w:sz="4" w:space="0" w:color="auto"/>
                    <w:left w:val="nil"/>
                    <w:bottom w:val="nil"/>
                    <w:right w:val="nil"/>
                  </w:tcBorders>
                  <w:shd w:val="clear" w:color="000000" w:fill="F2F2F2"/>
                  <w:noWrap/>
                  <w:vAlign w:val="center"/>
                  <w:hideMark/>
                </w:tcPr>
                <w:p w14:paraId="171E4362" w14:textId="77777777" w:rsidR="00F541BA" w:rsidRPr="000F1142" w:rsidRDefault="006F63F6" w:rsidP="00F541BA">
                  <w:pPr>
                    <w:spacing w:after="0" w:line="240" w:lineRule="auto"/>
                    <w:rPr>
                      <w:rFonts w:ascii="Tahoma" w:eastAsia="Times New Roman" w:hAnsi="Tahoma" w:cs="Tahoma"/>
                      <w:color w:val="404040"/>
                      <w:lang w:val="en-US"/>
                    </w:rPr>
                  </w:pPr>
                  <w:r>
                    <w:rPr>
                      <w:rFonts w:ascii="Tahoma" w:eastAsia="Tahoma" w:hAnsi="Tahoma" w:cs="Tahoma"/>
                      <w:color w:val="404040"/>
                      <w:lang w:val="en-US"/>
                    </w:rPr>
                    <w:t>2,703</w:t>
                  </w:r>
                </w:p>
              </w:tc>
              <w:tc>
                <w:tcPr>
                  <w:tcW w:w="1440" w:type="dxa"/>
                  <w:tcBorders>
                    <w:top w:val="single" w:sz="4" w:space="0" w:color="auto"/>
                    <w:left w:val="nil"/>
                    <w:bottom w:val="nil"/>
                    <w:right w:val="nil"/>
                  </w:tcBorders>
                  <w:shd w:val="clear" w:color="000000" w:fill="F2F2F2"/>
                  <w:noWrap/>
                  <w:vAlign w:val="center"/>
                  <w:hideMark/>
                </w:tcPr>
                <w:p w14:paraId="7F0BD4D3" w14:textId="77777777" w:rsidR="00F541BA" w:rsidRPr="000F1142" w:rsidRDefault="006F63F6" w:rsidP="00F541BA">
                  <w:pPr>
                    <w:spacing w:after="0" w:line="240" w:lineRule="auto"/>
                    <w:rPr>
                      <w:rFonts w:ascii="Tahoma" w:eastAsia="Times New Roman" w:hAnsi="Tahoma" w:cs="Tahoma"/>
                      <w:color w:val="404040"/>
                      <w:lang w:val="en-US"/>
                    </w:rPr>
                  </w:pPr>
                  <w:r>
                    <w:rPr>
                      <w:rFonts w:ascii="Tahoma" w:eastAsia="Tahoma" w:hAnsi="Tahoma" w:cs="Tahoma"/>
                      <w:color w:val="404040"/>
                      <w:lang w:val="en-US"/>
                    </w:rPr>
                    <w:t>615</w:t>
                  </w:r>
                </w:p>
              </w:tc>
              <w:tc>
                <w:tcPr>
                  <w:tcW w:w="1240" w:type="dxa"/>
                  <w:tcBorders>
                    <w:top w:val="single" w:sz="4" w:space="0" w:color="auto"/>
                    <w:left w:val="nil"/>
                    <w:bottom w:val="nil"/>
                    <w:right w:val="nil"/>
                  </w:tcBorders>
                  <w:shd w:val="clear" w:color="000000" w:fill="F2F2F2"/>
                  <w:noWrap/>
                  <w:vAlign w:val="center"/>
                  <w:hideMark/>
                </w:tcPr>
                <w:p w14:paraId="03F094C6" w14:textId="77777777" w:rsidR="00F541BA" w:rsidRPr="000F1142" w:rsidRDefault="006F63F6" w:rsidP="00F541BA">
                  <w:pPr>
                    <w:spacing w:after="0" w:line="240" w:lineRule="auto"/>
                    <w:rPr>
                      <w:rFonts w:ascii="Tahoma" w:eastAsia="Times New Roman" w:hAnsi="Tahoma" w:cs="Tahoma"/>
                      <w:color w:val="404040"/>
                      <w:lang w:val="en-US"/>
                    </w:rPr>
                  </w:pPr>
                  <w:r>
                    <w:rPr>
                      <w:rFonts w:ascii="Tahoma" w:eastAsia="Tahoma" w:hAnsi="Tahoma" w:cs="Tahoma"/>
                      <w:color w:val="404040"/>
                      <w:lang w:val="en-US"/>
                    </w:rPr>
                    <w:t>340%</w:t>
                  </w:r>
                </w:p>
              </w:tc>
              <w:tc>
                <w:tcPr>
                  <w:tcW w:w="180" w:type="dxa"/>
                  <w:tcBorders>
                    <w:top w:val="nil"/>
                    <w:left w:val="nil"/>
                    <w:bottom w:val="nil"/>
                    <w:right w:val="nil"/>
                  </w:tcBorders>
                  <w:shd w:val="clear" w:color="000000" w:fill="F2F2F2"/>
                  <w:noWrap/>
                  <w:vAlign w:val="center"/>
                  <w:hideMark/>
                </w:tcPr>
                <w:p w14:paraId="3F88159E" w14:textId="77777777" w:rsidR="00F541BA" w:rsidRPr="000F1142" w:rsidRDefault="006F63F6" w:rsidP="00F541BA">
                  <w:pPr>
                    <w:spacing w:after="0" w:line="240" w:lineRule="auto"/>
                    <w:rPr>
                      <w:rFonts w:ascii="Tahoma" w:eastAsia="Times New Roman" w:hAnsi="Tahoma" w:cs="Tahoma"/>
                      <w:color w:val="404040"/>
                      <w:lang w:val="en-US"/>
                    </w:rPr>
                  </w:pPr>
                  <w:r w:rsidRPr="000F1142">
                    <w:rPr>
                      <w:rFonts w:ascii="Tahoma" w:eastAsia="Times New Roman" w:hAnsi="Tahoma" w:cs="Tahoma"/>
                      <w:color w:val="404040"/>
                      <w:lang w:val="en-US"/>
                    </w:rPr>
                    <w:t> </w:t>
                  </w:r>
                </w:p>
              </w:tc>
            </w:tr>
          </w:tbl>
          <w:p w14:paraId="69D805A5" w14:textId="77777777" w:rsidR="00F541BA" w:rsidRPr="000F1142" w:rsidRDefault="00F541BA" w:rsidP="00807471">
            <w:pPr>
              <w:spacing w:line="360" w:lineRule="auto"/>
              <w:jc w:val="center"/>
              <w:rPr>
                <w:rFonts w:ascii="Tahoma" w:eastAsia="Tahoma" w:hAnsi="Tahoma" w:cs="Tahoma"/>
                <w:bCs/>
                <w:color w:val="808080"/>
                <w:sz w:val="18"/>
                <w:szCs w:val="18"/>
                <w:highlight w:val="cyan"/>
                <w:lang w:val="en-US"/>
              </w:rPr>
            </w:pPr>
          </w:p>
          <w:p w14:paraId="1F5D8753" w14:textId="7228197E" w:rsidR="002D0419" w:rsidRPr="000F1142" w:rsidRDefault="006F63F6" w:rsidP="00A468F2">
            <w:pPr>
              <w:spacing w:line="360" w:lineRule="auto"/>
              <w:jc w:val="both"/>
              <w:rPr>
                <w:rFonts w:ascii="Tahoma" w:eastAsia="Tahoma" w:hAnsi="Tahoma" w:cs="Tahoma"/>
                <w:bCs/>
                <w:color w:val="808080"/>
                <w:sz w:val="18"/>
                <w:szCs w:val="18"/>
                <w:lang w:val="en-US"/>
              </w:rPr>
            </w:pPr>
            <w:r>
              <w:rPr>
                <w:rFonts w:ascii="Tahoma" w:eastAsia="Tahoma" w:hAnsi="Tahoma" w:cs="Tahoma"/>
                <w:bCs/>
                <w:color w:val="808080"/>
                <w:sz w:val="18"/>
                <w:szCs w:val="18"/>
                <w:lang w:val="en-US"/>
              </w:rPr>
              <w:t>The scale of achieved sales revenue in Q1 2024 in the construction segment was noticeably</w:t>
            </w:r>
            <w:r>
              <w:rPr>
                <w:rFonts w:ascii="Tahoma" w:eastAsia="Tahoma" w:hAnsi="Tahoma" w:cs="Tahoma"/>
                <w:bCs/>
                <w:color w:val="808080"/>
                <w:sz w:val="18"/>
                <w:szCs w:val="18"/>
                <w:lang w:val="en-US"/>
              </w:rPr>
              <w:t xml:space="preserve"> higher than in the previous year. The decrease in sales was mainly due to the investment cycle of the largest ‎ordering parties, particularly in the rail area</w:t>
            </w:r>
            <w:r w:rsidR="00A25D83">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 xml:space="preserve">In addition, ‎several major sites, which accounted for a large share of sales revenue ‎last year, were completed. ‎ </w:t>
            </w:r>
          </w:p>
          <w:p w14:paraId="621D42B5" w14:textId="77777777" w:rsidR="002D0419" w:rsidRPr="000F1142" w:rsidRDefault="002D0419" w:rsidP="00A468F2">
            <w:pPr>
              <w:spacing w:line="360" w:lineRule="auto"/>
              <w:jc w:val="both"/>
              <w:rPr>
                <w:rFonts w:ascii="Tahoma" w:eastAsia="Tahoma" w:hAnsi="Tahoma" w:cs="Tahoma"/>
                <w:bCs/>
                <w:color w:val="808080"/>
                <w:sz w:val="18"/>
                <w:szCs w:val="18"/>
                <w:lang w:val="en-US"/>
              </w:rPr>
            </w:pPr>
          </w:p>
          <w:p w14:paraId="17950581" w14:textId="77777777" w:rsidR="00745755" w:rsidRPr="000F1142" w:rsidRDefault="00745755" w:rsidP="00745755">
            <w:pPr>
              <w:spacing w:line="360" w:lineRule="auto"/>
              <w:jc w:val="both"/>
              <w:rPr>
                <w:rFonts w:ascii="Tahoma" w:eastAsia="Tahoma" w:hAnsi="Tahoma" w:cs="Tahoma"/>
                <w:bCs/>
                <w:color w:val="808080"/>
                <w:sz w:val="18"/>
                <w:szCs w:val="18"/>
                <w:highlight w:val="cyan"/>
                <w:lang w:val="en-US"/>
              </w:rPr>
            </w:pPr>
          </w:p>
          <w:p w14:paraId="4B00E0FB" w14:textId="3CD30CDC" w:rsidR="00745755" w:rsidRPr="000F1142" w:rsidRDefault="006F63F6" w:rsidP="00745755">
            <w:pPr>
              <w:spacing w:line="360" w:lineRule="auto"/>
              <w:jc w:val="both"/>
              <w:rPr>
                <w:rFonts w:ascii="Tahoma" w:eastAsia="Tahoma" w:hAnsi="Tahoma" w:cs="Tahoma"/>
                <w:bCs/>
                <w:color w:val="808080"/>
                <w:sz w:val="18"/>
                <w:szCs w:val="18"/>
                <w:lang w:val="en-US"/>
              </w:rPr>
            </w:pPr>
            <w:r>
              <w:rPr>
                <w:rFonts w:ascii="Tahoma" w:eastAsia="Tahoma" w:hAnsi="Tahoma" w:cs="Tahoma"/>
                <w:bCs/>
                <w:color w:val="808080"/>
                <w:sz w:val="18"/>
                <w:szCs w:val="18"/>
                <w:lang w:val="en-US"/>
              </w:rPr>
              <w:t>The operating profitability of the construction segment reached 6.7%, that is ‎significantly higher than in the same period last year, wh</w:t>
            </w:r>
            <w:r>
              <w:rPr>
                <w:rFonts w:ascii="Tahoma" w:eastAsia="Tahoma" w:hAnsi="Tahoma" w:cs="Tahoma"/>
                <w:bCs/>
                <w:color w:val="808080"/>
                <w:sz w:val="18"/>
                <w:szCs w:val="18"/>
                <w:lang w:val="en-US"/>
              </w:rPr>
              <w:t>en it reached 4.7%</w:t>
            </w:r>
            <w:r w:rsidR="000F1142">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br/>
              <w:t>Several factors contributed to the observed increase</w:t>
            </w:r>
            <w:r w:rsidR="000F1142">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One was the stabilisation ‎of prices and better availability of construction materials and subcontractor ‎services</w:t>
            </w:r>
            <w:r w:rsidR="000F1142">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 xml:space="preserve">The improvement in operating profitability was </w:t>
            </w:r>
            <w:r w:rsidR="000F1142">
              <w:rPr>
                <w:rFonts w:ascii="Tahoma" w:eastAsia="Tahoma" w:hAnsi="Tahoma" w:cs="Tahoma"/>
                <w:bCs/>
                <w:color w:val="808080"/>
                <w:sz w:val="18"/>
                <w:szCs w:val="18"/>
                <w:lang w:val="en-US"/>
              </w:rPr>
              <w:t>observed</w:t>
            </w:r>
            <w:r>
              <w:rPr>
                <w:rFonts w:ascii="Tahoma" w:eastAsia="Tahoma" w:hAnsi="Tahoma" w:cs="Tahoma"/>
                <w:bCs/>
                <w:color w:val="808080"/>
                <w:sz w:val="18"/>
                <w:szCs w:val="18"/>
                <w:lang w:val="en-US"/>
              </w:rPr>
              <w:t>, among ‎o</w:t>
            </w:r>
            <w:r>
              <w:rPr>
                <w:rFonts w:ascii="Tahoma" w:eastAsia="Tahoma" w:hAnsi="Tahoma" w:cs="Tahoma"/>
                <w:bCs/>
                <w:color w:val="808080"/>
                <w:sz w:val="18"/>
                <w:szCs w:val="18"/>
                <w:lang w:val="en-US"/>
              </w:rPr>
              <w:t>thers, in the general construction segment, which, thanks to the completion ‎and settlement last year of several large and difficult sites and better availability of subcontractors, in the current quarter achieved higher profitability than in the same peri</w:t>
            </w:r>
            <w:r>
              <w:rPr>
                <w:rFonts w:ascii="Tahoma" w:eastAsia="Tahoma" w:hAnsi="Tahoma" w:cs="Tahoma"/>
                <w:bCs/>
                <w:color w:val="808080"/>
                <w:sz w:val="18"/>
                <w:szCs w:val="18"/>
                <w:lang w:val="en-US"/>
              </w:rPr>
              <w:t>od of the previous ‎year.</w:t>
            </w:r>
          </w:p>
          <w:p w14:paraId="7BC3E315" w14:textId="77777777" w:rsidR="00745755" w:rsidRPr="000F1142" w:rsidRDefault="00745755" w:rsidP="00745755">
            <w:pPr>
              <w:spacing w:line="360" w:lineRule="auto"/>
              <w:jc w:val="both"/>
              <w:rPr>
                <w:rFonts w:ascii="Tahoma" w:eastAsia="Tahoma" w:hAnsi="Tahoma" w:cs="Tahoma"/>
                <w:bCs/>
                <w:color w:val="808080"/>
                <w:sz w:val="18"/>
                <w:szCs w:val="18"/>
                <w:highlight w:val="cyan"/>
                <w:lang w:val="en-US"/>
              </w:rPr>
            </w:pPr>
          </w:p>
          <w:p w14:paraId="24EB9E08" w14:textId="0766DE67" w:rsidR="00745755" w:rsidRPr="000F1142" w:rsidRDefault="006F63F6" w:rsidP="00745755">
            <w:pPr>
              <w:spacing w:line="360" w:lineRule="auto"/>
              <w:jc w:val="both"/>
              <w:rPr>
                <w:rFonts w:ascii="Tahoma" w:eastAsia="Tahoma" w:hAnsi="Tahoma" w:cs="Tahoma"/>
                <w:bCs/>
                <w:color w:val="808080"/>
                <w:sz w:val="18"/>
                <w:szCs w:val="18"/>
                <w:highlight w:val="cyan"/>
                <w:lang w:val="en-US"/>
              </w:rPr>
            </w:pPr>
            <w:r>
              <w:rPr>
                <w:rFonts w:ascii="Tahoma" w:eastAsia="Tahoma" w:hAnsi="Tahoma" w:cs="Tahoma"/>
                <w:bCs/>
                <w:color w:val="808080"/>
                <w:sz w:val="18"/>
                <w:szCs w:val="18"/>
                <w:lang w:val="en-US"/>
              </w:rPr>
              <w:t>The gross profitability of the construction segment in the period under review amounted to 9.5</w:t>
            </w:r>
            <w:r w:rsidR="000F1142">
              <w:rPr>
                <w:rFonts w:ascii="Tahoma" w:eastAsia="Tahoma" w:hAnsi="Tahoma" w:cs="Tahoma"/>
                <w:bCs/>
                <w:color w:val="808080"/>
                <w:sz w:val="18"/>
                <w:szCs w:val="18"/>
                <w:lang w:val="en-US"/>
              </w:rPr>
              <w:t>%‎,</w:t>
            </w:r>
            <w:r>
              <w:rPr>
                <w:rFonts w:ascii="Tahoma" w:eastAsia="Tahoma" w:hAnsi="Tahoma" w:cs="Tahoma"/>
                <w:bCs/>
                <w:color w:val="808080"/>
                <w:sz w:val="18"/>
                <w:szCs w:val="18"/>
                <w:lang w:val="en-US"/>
              </w:rPr>
              <w:t xml:space="preserve"> significantly higher than in the first quarter of </w:t>
            </w:r>
            <w:r w:rsidR="000F1142">
              <w:rPr>
                <w:rFonts w:ascii="Tahoma" w:eastAsia="Tahoma" w:hAnsi="Tahoma" w:cs="Tahoma"/>
                <w:bCs/>
                <w:color w:val="808080"/>
                <w:sz w:val="18"/>
                <w:szCs w:val="18"/>
                <w:lang w:val="en-US"/>
              </w:rPr>
              <w:t>2023‎,</w:t>
            </w:r>
            <w:r>
              <w:rPr>
                <w:rFonts w:ascii="Tahoma" w:eastAsia="Tahoma" w:hAnsi="Tahoma" w:cs="Tahoma"/>
                <w:bCs/>
                <w:color w:val="808080"/>
                <w:sz w:val="18"/>
                <w:szCs w:val="18"/>
                <w:lang w:val="en-US"/>
              </w:rPr>
              <w:t xml:space="preserve"> when it reached 7.0%</w:t>
            </w:r>
            <w:r w:rsidR="000F1142">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 xml:space="preserve">In the first quarter of 2024, in addition to the </w:t>
            </w:r>
            <w:r>
              <w:rPr>
                <w:rFonts w:ascii="Tahoma" w:eastAsia="Tahoma" w:hAnsi="Tahoma" w:cs="Tahoma"/>
                <w:bCs/>
                <w:color w:val="808080"/>
                <w:sz w:val="18"/>
                <w:szCs w:val="18"/>
                <w:lang w:val="en-US"/>
              </w:rPr>
              <w:t>increase in ‎profitability at the operating level, profitability at the gross profit level was ‎supported by the positive result generated on financing activities from interest ‎earned on deposits.‎</w:t>
            </w:r>
          </w:p>
          <w:p w14:paraId="7E1A670E" w14:textId="77777777" w:rsidR="00745755" w:rsidRPr="000F1142" w:rsidRDefault="00745755" w:rsidP="00745755">
            <w:pPr>
              <w:spacing w:line="360" w:lineRule="auto"/>
              <w:jc w:val="both"/>
              <w:rPr>
                <w:rFonts w:ascii="Tahoma" w:eastAsia="Tahoma" w:hAnsi="Tahoma" w:cs="Tahoma"/>
                <w:bCs/>
                <w:color w:val="808080"/>
                <w:sz w:val="18"/>
                <w:szCs w:val="18"/>
                <w:highlight w:val="cyan"/>
                <w:lang w:val="en-US"/>
              </w:rPr>
            </w:pPr>
          </w:p>
          <w:p w14:paraId="55F06F3B" w14:textId="6C079F73" w:rsidR="00745755" w:rsidRPr="000F1142" w:rsidRDefault="006F63F6" w:rsidP="00745755">
            <w:pPr>
              <w:spacing w:line="360" w:lineRule="auto"/>
              <w:jc w:val="both"/>
              <w:rPr>
                <w:rFonts w:ascii="Tahoma" w:eastAsia="Tahoma" w:hAnsi="Tahoma" w:cs="Tahoma"/>
                <w:bCs/>
                <w:color w:val="808080"/>
                <w:sz w:val="18"/>
                <w:szCs w:val="18"/>
                <w:lang w:val="en-US"/>
              </w:rPr>
            </w:pPr>
            <w:r>
              <w:rPr>
                <w:rFonts w:ascii="Tahoma" w:eastAsia="Tahoma" w:hAnsi="Tahoma" w:cs="Tahoma"/>
                <w:bCs/>
                <w:color w:val="808080"/>
                <w:sz w:val="18"/>
                <w:szCs w:val="18"/>
                <w:lang w:val="en-US"/>
              </w:rPr>
              <w:t>In the first quarter of 2024, we secured contracts worth</w:t>
            </w:r>
            <w:r>
              <w:rPr>
                <w:rFonts w:ascii="Tahoma" w:eastAsia="Tahoma" w:hAnsi="Tahoma" w:cs="Tahoma"/>
                <w:bCs/>
                <w:color w:val="808080"/>
                <w:sz w:val="18"/>
                <w:szCs w:val="18"/>
                <w:lang w:val="en-US"/>
              </w:rPr>
              <w:t xml:space="preserve"> over PLN 2,703 million. ‎ The orderbook of the Budimex Group at the end of March 2024 amounted ‎to PLN 14.6 billion, of which more than PLN 1 billion was attributable to ‎construction contracts acquired outside Poland</w:t>
            </w:r>
            <w:r w:rsidR="000F1142">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Such a high value of the orderbook s</w:t>
            </w:r>
            <w:r>
              <w:rPr>
                <w:rFonts w:ascii="Tahoma" w:eastAsia="Tahoma" w:hAnsi="Tahoma" w:cs="Tahoma"/>
                <w:bCs/>
                <w:color w:val="808080"/>
                <w:sz w:val="18"/>
                <w:szCs w:val="18"/>
                <w:lang w:val="en-US"/>
              </w:rPr>
              <w:t>ecures work for the Group for the whole current year and ‎most of 2025</w:t>
            </w:r>
            <w:r w:rsidR="000F1142">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 xml:space="preserve">Intense work on the </w:t>
            </w:r>
            <w:r>
              <w:rPr>
                <w:rFonts w:ascii="Tahoma" w:eastAsia="Tahoma" w:hAnsi="Tahoma" w:cs="Tahoma"/>
                <w:bCs/>
                <w:color w:val="808080"/>
                <w:sz w:val="18"/>
                <w:szCs w:val="18"/>
                <w:lang w:val="en-US"/>
              </w:rPr>
              <w:lastRenderedPageBreak/>
              <w:t>acquisition of new projects caused that the value of projects awaiting signature and those where Budimex or Group companies' bids were rated highest currently amoun</w:t>
            </w:r>
            <w:r>
              <w:rPr>
                <w:rFonts w:ascii="Tahoma" w:eastAsia="Tahoma" w:hAnsi="Tahoma" w:cs="Tahoma"/>
                <w:bCs/>
                <w:color w:val="808080"/>
                <w:sz w:val="18"/>
                <w:szCs w:val="18"/>
                <w:lang w:val="en-US"/>
              </w:rPr>
              <w:t>ts to PLN 10 billion</w:t>
            </w:r>
            <w:r w:rsidR="000F1142">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In the perspective of the upcoming quarters, this should translate into ‎maintaining a stable value of the orderbook and responsible bidding in the ‎future tenders. ‎</w:t>
            </w:r>
          </w:p>
          <w:p w14:paraId="03E8210D" w14:textId="77777777" w:rsidR="00745755" w:rsidRPr="000F1142" w:rsidRDefault="00745755" w:rsidP="00745755">
            <w:pPr>
              <w:spacing w:line="360" w:lineRule="auto"/>
              <w:jc w:val="both"/>
              <w:rPr>
                <w:rFonts w:ascii="Tahoma" w:eastAsia="Tahoma" w:hAnsi="Tahoma" w:cs="Tahoma"/>
                <w:bCs/>
                <w:color w:val="808080"/>
                <w:sz w:val="18"/>
                <w:szCs w:val="18"/>
                <w:highlight w:val="cyan"/>
                <w:lang w:val="en-US"/>
              </w:rPr>
            </w:pPr>
          </w:p>
          <w:p w14:paraId="7B489170" w14:textId="7986A409" w:rsidR="00745755" w:rsidRPr="000F1142" w:rsidRDefault="006F63F6" w:rsidP="00745755">
            <w:pPr>
              <w:spacing w:line="360" w:lineRule="auto"/>
              <w:jc w:val="both"/>
              <w:rPr>
                <w:rFonts w:ascii="Tahoma" w:eastAsia="Tahoma" w:hAnsi="Tahoma" w:cs="Tahoma"/>
                <w:bCs/>
                <w:color w:val="808080"/>
                <w:sz w:val="18"/>
                <w:szCs w:val="18"/>
                <w:lang w:val="en-US"/>
              </w:rPr>
            </w:pPr>
            <w:r>
              <w:rPr>
                <w:rFonts w:ascii="Tahoma" w:eastAsia="Tahoma" w:hAnsi="Tahoma" w:cs="Tahoma"/>
                <w:bCs/>
                <w:color w:val="808080"/>
                <w:sz w:val="18"/>
                <w:szCs w:val="18"/>
                <w:lang w:val="en-US"/>
              </w:rPr>
              <w:t>Budimex Group ended the first quarter of 2024 with a net cash posi</w:t>
            </w:r>
            <w:r>
              <w:rPr>
                <w:rFonts w:ascii="Tahoma" w:eastAsia="Tahoma" w:hAnsi="Tahoma" w:cs="Tahoma"/>
                <w:bCs/>
                <w:color w:val="808080"/>
                <w:sz w:val="18"/>
                <w:szCs w:val="18"/>
                <w:lang w:val="en-US"/>
              </w:rPr>
              <w:t>tion of ‎nearly PLN 3.9 billion</w:t>
            </w:r>
            <w:r w:rsidR="00A25D83">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Fulfilling the assumptions of the adopted dividend policy, ‎the Management Board of Budimex SA recommended to the Supervisory Board ‎and the General Meeting of Shareholders the payment of a dividend from the ‎profit achieve</w:t>
            </w:r>
            <w:r>
              <w:rPr>
                <w:rFonts w:ascii="Tahoma" w:eastAsia="Tahoma" w:hAnsi="Tahoma" w:cs="Tahoma"/>
                <w:bCs/>
                <w:color w:val="808080"/>
                <w:sz w:val="18"/>
                <w:szCs w:val="18"/>
                <w:lang w:val="en-US"/>
              </w:rPr>
              <w:t xml:space="preserve">d in 2023 in the amount of PLN 749.6 million and retained ‎earnings from previous years in the amount of PLN 161.6 million, which makes ‎a total of PLN 35.69 per share.  The dividend would be paid in June 2024. ‎ </w:t>
            </w:r>
          </w:p>
          <w:p w14:paraId="2A006BDA" w14:textId="77777777" w:rsidR="00F518C4" w:rsidRPr="000F1142" w:rsidRDefault="00F518C4" w:rsidP="00745755">
            <w:pPr>
              <w:spacing w:line="360" w:lineRule="auto"/>
              <w:jc w:val="both"/>
              <w:rPr>
                <w:rFonts w:ascii="Tahoma" w:eastAsia="Tahoma" w:hAnsi="Tahoma" w:cs="Tahoma"/>
                <w:bCs/>
                <w:color w:val="808080"/>
                <w:sz w:val="18"/>
                <w:szCs w:val="18"/>
                <w:lang w:val="en-US"/>
              </w:rPr>
            </w:pPr>
          </w:p>
          <w:p w14:paraId="6D364EE7" w14:textId="77777777" w:rsidR="00F518C4" w:rsidRPr="000F1142" w:rsidRDefault="006F63F6" w:rsidP="00745755">
            <w:pPr>
              <w:spacing w:line="360" w:lineRule="auto"/>
              <w:jc w:val="both"/>
              <w:rPr>
                <w:rFonts w:ascii="Tahoma" w:eastAsia="Tahoma" w:hAnsi="Tahoma" w:cs="Tahoma"/>
                <w:b/>
                <w:color w:val="808080"/>
                <w:sz w:val="18"/>
                <w:szCs w:val="18"/>
                <w:lang w:val="en-US"/>
              </w:rPr>
            </w:pPr>
            <w:r>
              <w:rPr>
                <w:rFonts w:ascii="Tahoma" w:eastAsia="Tahoma" w:hAnsi="Tahoma" w:cs="Tahoma"/>
                <w:b/>
                <w:bCs/>
                <w:color w:val="808080"/>
                <w:sz w:val="18"/>
                <w:szCs w:val="18"/>
                <w:lang w:val="en-US"/>
              </w:rPr>
              <w:t xml:space="preserve">Mostostal Krakow to take part in a </w:t>
            </w:r>
            <w:r>
              <w:rPr>
                <w:rFonts w:ascii="Tahoma" w:eastAsia="Tahoma" w:hAnsi="Tahoma" w:cs="Tahoma"/>
                <w:b/>
                <w:bCs/>
                <w:color w:val="808080"/>
                <w:sz w:val="18"/>
                <w:szCs w:val="18"/>
                <w:lang w:val="en-US"/>
              </w:rPr>
              <w:t>nuclear project</w:t>
            </w:r>
          </w:p>
          <w:p w14:paraId="577DE369" w14:textId="77777777" w:rsidR="00910F1A" w:rsidRPr="000F1142" w:rsidRDefault="00910F1A" w:rsidP="00745755">
            <w:pPr>
              <w:spacing w:line="360" w:lineRule="auto"/>
              <w:jc w:val="both"/>
              <w:rPr>
                <w:rFonts w:ascii="Tahoma" w:eastAsia="Tahoma" w:hAnsi="Tahoma" w:cs="Tahoma"/>
                <w:bCs/>
                <w:color w:val="808080"/>
                <w:sz w:val="18"/>
                <w:szCs w:val="18"/>
                <w:lang w:val="en-US"/>
              </w:rPr>
            </w:pPr>
          </w:p>
          <w:p w14:paraId="138A17C7" w14:textId="003B6F64" w:rsidR="00910F1A" w:rsidRPr="000F1142" w:rsidRDefault="006F63F6" w:rsidP="00910F1A">
            <w:pPr>
              <w:spacing w:line="360" w:lineRule="auto"/>
              <w:jc w:val="both"/>
              <w:rPr>
                <w:rFonts w:ascii="Tahoma" w:eastAsia="Tahoma" w:hAnsi="Tahoma" w:cs="Tahoma"/>
                <w:bCs/>
                <w:color w:val="808080"/>
                <w:sz w:val="18"/>
                <w:szCs w:val="18"/>
                <w:lang w:val="en-US"/>
              </w:rPr>
            </w:pPr>
            <w:r>
              <w:rPr>
                <w:rFonts w:ascii="Tahoma" w:eastAsia="Tahoma" w:hAnsi="Tahoma" w:cs="Tahoma"/>
                <w:bCs/>
                <w:color w:val="808080"/>
                <w:sz w:val="18"/>
                <w:szCs w:val="18"/>
                <w:lang w:val="en-US"/>
              </w:rPr>
              <w:t>Westinghouse, American company, has selected Mostostal Krakow, Budimex's subsidiary, to support the construction of Poland's first nuclear power plant. The American company responsible for the project has entrusted Mostotal Kraków with the</w:t>
            </w:r>
            <w:r>
              <w:rPr>
                <w:rFonts w:ascii="Tahoma" w:eastAsia="Tahoma" w:hAnsi="Tahoma" w:cs="Tahoma"/>
                <w:bCs/>
                <w:color w:val="808080"/>
                <w:sz w:val="18"/>
                <w:szCs w:val="18"/>
                <w:lang w:val="en-US"/>
              </w:rPr>
              <w:t xml:space="preserve"> production and assembly of steel ‎structures</w:t>
            </w:r>
            <w:r w:rsidR="000F1142">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 xml:space="preserve">Budimex SA is also negotiating with the general contractor the execution of the construction part. </w:t>
            </w:r>
          </w:p>
          <w:p w14:paraId="33BEDE99" w14:textId="77777777" w:rsidR="00910F1A" w:rsidRPr="000F1142" w:rsidRDefault="00910F1A" w:rsidP="00910F1A">
            <w:pPr>
              <w:spacing w:line="360" w:lineRule="auto"/>
              <w:jc w:val="both"/>
              <w:rPr>
                <w:rFonts w:ascii="Tahoma" w:eastAsia="Tahoma" w:hAnsi="Tahoma" w:cs="Tahoma"/>
                <w:bCs/>
                <w:color w:val="808080"/>
                <w:sz w:val="18"/>
                <w:szCs w:val="18"/>
                <w:lang w:val="en-US"/>
              </w:rPr>
            </w:pPr>
          </w:p>
          <w:p w14:paraId="3C6E5AFD" w14:textId="77777777" w:rsidR="0001727E" w:rsidRPr="000F1142" w:rsidRDefault="006F63F6" w:rsidP="00D4399C">
            <w:pPr>
              <w:spacing w:line="360" w:lineRule="auto"/>
              <w:jc w:val="both"/>
              <w:rPr>
                <w:rStyle w:val="Odwoaniedokomentarza"/>
                <w:rFonts w:ascii="Tahoma" w:eastAsia="Tahoma" w:hAnsi="Tahoma" w:cs="Tahoma"/>
                <w:bCs/>
                <w:color w:val="808080"/>
                <w:sz w:val="18"/>
                <w:szCs w:val="18"/>
                <w:lang w:val="en-US"/>
              </w:rPr>
            </w:pPr>
            <w:r>
              <w:rPr>
                <w:rFonts w:ascii="Tahoma" w:eastAsia="Tahoma" w:hAnsi="Tahoma" w:cs="Tahoma"/>
                <w:bCs/>
                <w:color w:val="808080"/>
                <w:sz w:val="18"/>
                <w:szCs w:val="18"/>
                <w:lang w:val="en-US"/>
              </w:rPr>
              <w:t>‎Another special event was the selection of Mostostal Krakow as the contractor ‎for the steel structure of t</w:t>
            </w:r>
            <w:r>
              <w:rPr>
                <w:rFonts w:ascii="Tahoma" w:eastAsia="Tahoma" w:hAnsi="Tahoma" w:cs="Tahoma"/>
                <w:bCs/>
                <w:color w:val="808080"/>
                <w:sz w:val="18"/>
                <w:szCs w:val="18"/>
                <w:lang w:val="en-US"/>
              </w:rPr>
              <w:t>he new 6,200-tonne road bridge over the Nemunas ‎River in Kaunas.</w:t>
            </w:r>
            <w:r w:rsidRPr="003D0FAF">
              <w:rPr>
                <w:rFonts w:ascii="Tahoma" w:eastAsia="Tahoma" w:hAnsi="Tahoma" w:cs="Tahoma"/>
                <w:bCs/>
                <w:noProof/>
                <w:color w:val="808080"/>
                <w:sz w:val="18"/>
                <w:szCs w:val="18"/>
              </w:rPr>
              <mc:AlternateContent>
                <mc:Choice Requires="wps">
                  <w:drawing>
                    <wp:anchor distT="0" distB="0" distL="114300" distR="114300" simplePos="0" relativeHeight="251662336" behindDoc="0" locked="0" layoutInCell="1" allowOverlap="1" wp14:anchorId="617B088C" wp14:editId="4803D0A1">
                      <wp:simplePos x="0" y="0"/>
                      <wp:positionH relativeFrom="margin">
                        <wp:align>center</wp:align>
                      </wp:positionH>
                      <wp:positionV relativeFrom="page">
                        <wp:posOffset>9931207</wp:posOffset>
                      </wp:positionV>
                      <wp:extent cx="6487795" cy="244475"/>
                      <wp:effectExtent l="0" t="0" r="0" b="3175"/>
                      <wp:wrapNone/>
                      <wp:docPr id="12" name="Pole tekstowe 12"/>
                      <wp:cNvGraphicFramePr/>
                      <a:graphic xmlns:a="http://schemas.openxmlformats.org/drawingml/2006/main">
                        <a:graphicData uri="http://schemas.microsoft.com/office/word/2010/wordprocessingShape">
                          <wps:wsp>
                            <wps:cNvSpPr txBox="1"/>
                            <wps:spPr>
                              <a:xfrm>
                                <a:off x="0" y="0"/>
                                <a:ext cx="6487795" cy="244475"/>
                              </a:xfrm>
                              <a:prstGeom prst="rect">
                                <a:avLst/>
                              </a:prstGeom>
                              <a:noFill/>
                              <a:ln w="6350">
                                <a:noFill/>
                              </a:ln>
                            </wps:spPr>
                            <wps:txbx>
                              <w:txbxContent>
                                <w:p w14:paraId="39B6840A" w14:textId="77777777" w:rsidR="0001727E" w:rsidRPr="000F1142" w:rsidRDefault="006F63F6" w:rsidP="0001727E">
                                  <w:pPr>
                                    <w:rPr>
                                      <w:rFonts w:ascii="Tahoma" w:hAnsi="Tahoma" w:cs="Tahoma"/>
                                      <w:i/>
                                      <w:color w:val="808080" w:themeColor="background1" w:themeShade="80"/>
                                      <w:sz w:val="14"/>
                                      <w:szCs w:val="14"/>
                                      <w:lang w:val="en-US"/>
                                    </w:rPr>
                                  </w:pPr>
                                  <w:r>
                                    <w:rPr>
                                      <w:rFonts w:ascii="Tahoma" w:eastAsia="Tahoma" w:hAnsi="Tahoma" w:cs="Tahoma"/>
                                      <w:i/>
                                      <w:iCs/>
                                      <w:color w:val="808080"/>
                                      <w:sz w:val="14"/>
                                      <w:szCs w:val="14"/>
                                      <w:lang w:val="en-US"/>
                                    </w:rPr>
                                    <w:t>*pro-forma data, prepared on the assumption of consolidation of FBSerwis Group from 01.01.2019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7B088C" id="_x0000_t202" coordsize="21600,21600" o:spt="202" path="m,l,21600r21600,l21600,xe">
                      <v:stroke joinstyle="miter"/>
                      <v:path gradientshapeok="t" o:connecttype="rect"/>
                    </v:shapetype>
                    <v:shape id="Pole tekstowe 12" o:spid="_x0000_s1026" type="#_x0000_t202" style="position:absolute;left:0;text-align:left;margin-left:0;margin-top:782pt;width:510.85pt;height:19.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" filled="f" stroked="f" strokeweight=".5pt">
                      <v:textbox>
                        <w:txbxContent>
                          <w:p w14:paraId="39B6840A" w14:textId="77777777" w:rsidR="0001727E" w:rsidRPr="000F1142" w:rsidRDefault="00000000" w:rsidP="0001727E">
                            <w:pPr>
                              <w:rPr>
                                <w:rFonts w:ascii="Tahoma" w:hAnsi="Tahoma" w:cs="Tahoma"/>
                                <w:i/>
                                <w:color w:val="808080" w:themeColor="background1" w:themeShade="80"/>
                                <w:sz w:val="14"/>
                                <w:szCs w:val="14"/>
                                <w:lang w:val="en-US"/>
                              </w:rPr>
                            </w:pPr>
                            <w:r>
                              <w:rPr>
                                <w:rFonts w:ascii="Tahoma" w:eastAsia="Tahoma" w:hAnsi="Tahoma" w:cs="Tahoma"/>
                                <w:i/>
                                <w:iCs/>
                                <w:color w:val="808080"/>
                                <w:sz w:val="14"/>
                                <w:szCs w:val="14"/>
                                <w:lang w:val="en-US"/>
                              </w:rPr>
                              <w:t>*pro-forma data, prepared on the assumption of consolidation of FBSerwis Group from 01.01.2019</w:t>
                            </w:r>
                          </w:p>
                        </w:txbxContent>
                      </v:textbox>
                      <w10:wrap anchorx="margin" anchory="page"/>
                    </v:shape>
                  </w:pict>
                </mc:Fallback>
              </mc:AlternateContent>
            </w:r>
            <w:r>
              <w:rPr>
                <w:rFonts w:ascii="Tahoma" w:eastAsia="Tahoma" w:hAnsi="Tahoma" w:cs="Tahoma"/>
                <w:bCs/>
                <w:noProof/>
                <w:color w:val="808080"/>
                <w:sz w:val="18"/>
                <w:szCs w:val="18"/>
                <w:lang w:val="en-US"/>
              </w:rPr>
              <w:t xml:space="preserve">In the first quarter of 2024,  FBSerwis Group recorded an ‎increase in sales revenue by PLN </w:t>
            </w:r>
            <w:r>
              <w:rPr>
                <w:rFonts w:ascii="Tahoma" w:eastAsia="Tahoma" w:hAnsi="Tahoma" w:cs="Tahoma"/>
                <w:bCs/>
                <w:noProof/>
                <w:color w:val="808080"/>
                <w:sz w:val="18"/>
                <w:szCs w:val="18"/>
                <w:lang w:val="en-US"/>
              </w:rPr>
              <w:t>13.3 million while maintaining good ‎profitability</w:t>
            </w:r>
          </w:p>
          <w:tbl>
            <w:tblPr>
              <w:tblW w:w="6620" w:type="dxa"/>
              <w:tblLayout w:type="fixed"/>
              <w:tblCellMar>
                <w:left w:w="70" w:type="dxa"/>
                <w:right w:w="70" w:type="dxa"/>
              </w:tblCellMar>
              <w:tblLook w:val="04A0" w:firstRow="1" w:lastRow="0" w:firstColumn="1" w:lastColumn="0" w:noHBand="0" w:noVBand="1"/>
            </w:tblPr>
            <w:tblGrid>
              <w:gridCol w:w="2520"/>
              <w:gridCol w:w="1420"/>
              <w:gridCol w:w="1440"/>
              <w:gridCol w:w="1240"/>
            </w:tblGrid>
            <w:tr w:rsidR="00D9163E" w:rsidRPr="007713CB" w14:paraId="5E80ACE7" w14:textId="77777777" w:rsidTr="009B3898">
              <w:trPr>
                <w:trHeight w:val="349"/>
              </w:trPr>
              <w:tc>
                <w:tcPr>
                  <w:tcW w:w="2520" w:type="dxa"/>
                  <w:vMerge w:val="restart"/>
                  <w:tcBorders>
                    <w:top w:val="nil"/>
                    <w:left w:val="nil"/>
                    <w:bottom w:val="nil"/>
                    <w:right w:val="nil"/>
                  </w:tcBorders>
                  <w:shd w:val="clear" w:color="000000" w:fill="595959"/>
                  <w:vAlign w:val="center"/>
                  <w:hideMark/>
                </w:tcPr>
                <w:p w14:paraId="70A579B8" w14:textId="77777777" w:rsidR="009B3898" w:rsidRPr="000F1142" w:rsidRDefault="006F63F6" w:rsidP="009B3898">
                  <w:pPr>
                    <w:spacing w:after="0" w:line="240" w:lineRule="auto"/>
                    <w:rPr>
                      <w:rFonts w:ascii="Tahoma" w:eastAsia="Times New Roman" w:hAnsi="Tahoma" w:cs="Tahoma"/>
                      <w:b/>
                      <w:bCs/>
                      <w:color w:val="FFFFFF"/>
                      <w:lang w:val="en-US"/>
                    </w:rPr>
                  </w:pPr>
                  <w:r>
                    <w:rPr>
                      <w:rFonts w:ascii="Tahoma" w:eastAsia="Tahoma" w:hAnsi="Tahoma" w:cs="Tahoma"/>
                      <w:b/>
                      <w:bCs/>
                      <w:color w:val="FFFFFF"/>
                      <w:lang w:val="en-US"/>
                    </w:rPr>
                    <w:t>Services segment</w:t>
                  </w:r>
                  <w:r>
                    <w:rPr>
                      <w:rFonts w:ascii="Tahoma" w:eastAsia="Tahoma" w:hAnsi="Tahoma" w:cs="Tahoma"/>
                      <w:b/>
                      <w:bCs/>
                      <w:color w:val="FFFFFF"/>
                      <w:lang w:val="en-US"/>
                    </w:rPr>
                    <w:br/>
                    <w:t>(PLN million)</w:t>
                  </w:r>
                </w:p>
              </w:tc>
              <w:tc>
                <w:tcPr>
                  <w:tcW w:w="4100" w:type="dxa"/>
                  <w:gridSpan w:val="3"/>
                  <w:tcBorders>
                    <w:top w:val="nil"/>
                    <w:left w:val="nil"/>
                    <w:bottom w:val="single" w:sz="4" w:space="0" w:color="000000"/>
                    <w:right w:val="nil"/>
                  </w:tcBorders>
                  <w:shd w:val="clear" w:color="000000" w:fill="BFBFBF"/>
                  <w:noWrap/>
                  <w:vAlign w:val="center"/>
                  <w:hideMark/>
                </w:tcPr>
                <w:p w14:paraId="173B7192" w14:textId="77777777" w:rsidR="009B3898" w:rsidRPr="000F1142" w:rsidRDefault="006F63F6" w:rsidP="009B3898">
                  <w:pPr>
                    <w:spacing w:after="0" w:line="240" w:lineRule="auto"/>
                    <w:jc w:val="center"/>
                    <w:rPr>
                      <w:rFonts w:ascii="Tahoma" w:eastAsia="Times New Roman" w:hAnsi="Tahoma" w:cs="Tahoma"/>
                      <w:b/>
                      <w:bCs/>
                      <w:color w:val="000000"/>
                      <w:lang w:val="en-US"/>
                    </w:rPr>
                  </w:pPr>
                  <w:r>
                    <w:rPr>
                      <w:rFonts w:ascii="Tahoma" w:eastAsia="Tahoma" w:hAnsi="Tahoma" w:cs="Tahoma"/>
                      <w:b/>
                      <w:bCs/>
                      <w:color w:val="000000"/>
                      <w:lang w:val="en-US"/>
                    </w:rPr>
                    <w:t>Profit and loss account</w:t>
                  </w:r>
                </w:p>
              </w:tc>
            </w:tr>
            <w:tr w:rsidR="00D9163E" w:rsidRPr="007713CB" w14:paraId="197E2610" w14:textId="77777777" w:rsidTr="009B3898">
              <w:trPr>
                <w:trHeight w:val="525"/>
              </w:trPr>
              <w:tc>
                <w:tcPr>
                  <w:tcW w:w="2520" w:type="dxa"/>
                  <w:vMerge/>
                  <w:tcBorders>
                    <w:top w:val="nil"/>
                    <w:left w:val="nil"/>
                    <w:bottom w:val="nil"/>
                    <w:right w:val="nil"/>
                  </w:tcBorders>
                  <w:vAlign w:val="center"/>
                  <w:hideMark/>
                </w:tcPr>
                <w:p w14:paraId="097602F9" w14:textId="77777777" w:rsidR="009B3898" w:rsidRPr="000F1142" w:rsidRDefault="009B3898" w:rsidP="009B3898">
                  <w:pPr>
                    <w:spacing w:after="0" w:line="240" w:lineRule="auto"/>
                    <w:rPr>
                      <w:rFonts w:ascii="Tahoma" w:eastAsia="Times New Roman" w:hAnsi="Tahoma" w:cs="Tahoma"/>
                      <w:b/>
                      <w:bCs/>
                      <w:color w:val="FFFFFF"/>
                      <w:lang w:val="en-US"/>
                    </w:rPr>
                  </w:pPr>
                </w:p>
              </w:tc>
              <w:tc>
                <w:tcPr>
                  <w:tcW w:w="1420" w:type="dxa"/>
                  <w:tcBorders>
                    <w:top w:val="nil"/>
                    <w:left w:val="nil"/>
                    <w:bottom w:val="nil"/>
                    <w:right w:val="nil"/>
                  </w:tcBorders>
                  <w:shd w:val="clear" w:color="000000" w:fill="BFBFBF"/>
                  <w:vAlign w:val="center"/>
                  <w:hideMark/>
                </w:tcPr>
                <w:p w14:paraId="0F5CB0E6" w14:textId="7C968CB1" w:rsidR="009B3898" w:rsidRPr="000F1142" w:rsidRDefault="000F1142" w:rsidP="009B3898">
                  <w:pPr>
                    <w:spacing w:after="0" w:line="240" w:lineRule="auto"/>
                    <w:jc w:val="center"/>
                    <w:rPr>
                      <w:rFonts w:ascii="Tahoma" w:eastAsia="Times New Roman" w:hAnsi="Tahoma" w:cs="Tahoma"/>
                      <w:color w:val="000000"/>
                      <w:lang w:val="en-US"/>
                    </w:rPr>
                  </w:pPr>
                  <w:r>
                    <w:rPr>
                      <w:rFonts w:ascii="Tahoma" w:eastAsia="Tahoma" w:hAnsi="Tahoma" w:cs="Tahoma"/>
                      <w:color w:val="000000"/>
                      <w:lang w:val="en-US"/>
                    </w:rPr>
                    <w:t>Q1 2024</w:t>
                  </w:r>
                </w:p>
              </w:tc>
              <w:tc>
                <w:tcPr>
                  <w:tcW w:w="1440" w:type="dxa"/>
                  <w:tcBorders>
                    <w:top w:val="nil"/>
                    <w:left w:val="single" w:sz="4" w:space="0" w:color="000000"/>
                    <w:bottom w:val="single" w:sz="8" w:space="0" w:color="000000"/>
                    <w:right w:val="single" w:sz="4" w:space="0" w:color="000000"/>
                  </w:tcBorders>
                  <w:shd w:val="clear" w:color="000000" w:fill="BFBFBF"/>
                  <w:vAlign w:val="center"/>
                  <w:hideMark/>
                </w:tcPr>
                <w:p w14:paraId="71FB21FF" w14:textId="020B9A9A" w:rsidR="009B3898" w:rsidRPr="000F1142" w:rsidRDefault="000F1142" w:rsidP="009B3898">
                  <w:pPr>
                    <w:spacing w:after="0" w:line="240" w:lineRule="auto"/>
                    <w:jc w:val="center"/>
                    <w:rPr>
                      <w:rFonts w:ascii="Tahoma" w:eastAsia="Times New Roman" w:hAnsi="Tahoma" w:cs="Tahoma"/>
                      <w:color w:val="000000"/>
                      <w:lang w:val="en-US"/>
                    </w:rPr>
                  </w:pPr>
                  <w:r>
                    <w:rPr>
                      <w:rFonts w:ascii="Tahoma" w:eastAsia="Tahoma" w:hAnsi="Tahoma" w:cs="Tahoma"/>
                      <w:color w:val="000000"/>
                      <w:lang w:val="en-US"/>
                    </w:rPr>
                    <w:t>Q1 2023</w:t>
                  </w:r>
                </w:p>
              </w:tc>
              <w:tc>
                <w:tcPr>
                  <w:tcW w:w="1240" w:type="dxa"/>
                  <w:tcBorders>
                    <w:top w:val="nil"/>
                    <w:left w:val="nil"/>
                    <w:bottom w:val="single" w:sz="8" w:space="0" w:color="000000"/>
                    <w:right w:val="nil"/>
                  </w:tcBorders>
                  <w:shd w:val="clear" w:color="000000" w:fill="BFBFBF"/>
                  <w:noWrap/>
                  <w:vAlign w:val="center"/>
                  <w:hideMark/>
                </w:tcPr>
                <w:p w14:paraId="4A54278D" w14:textId="77777777" w:rsidR="009B3898" w:rsidRPr="000F1142" w:rsidRDefault="006F63F6" w:rsidP="009B3898">
                  <w:pPr>
                    <w:spacing w:after="0" w:line="240" w:lineRule="auto"/>
                    <w:jc w:val="center"/>
                    <w:rPr>
                      <w:rFonts w:ascii="Tahoma" w:eastAsia="Times New Roman" w:hAnsi="Tahoma" w:cs="Tahoma"/>
                      <w:color w:val="000000"/>
                      <w:lang w:val="en-US"/>
                    </w:rPr>
                  </w:pPr>
                  <w:r>
                    <w:rPr>
                      <w:rFonts w:ascii="Tahoma" w:eastAsia="Tahoma" w:hAnsi="Tahoma" w:cs="Tahoma"/>
                      <w:color w:val="000000"/>
                      <w:lang w:val="en-US"/>
                    </w:rPr>
                    <w:t>y/y</w:t>
                  </w:r>
                </w:p>
              </w:tc>
            </w:tr>
            <w:tr w:rsidR="00D9163E" w:rsidRPr="007713CB" w14:paraId="09F8F1D3" w14:textId="77777777" w:rsidTr="009B3898">
              <w:trPr>
                <w:trHeight w:val="420"/>
              </w:trPr>
              <w:tc>
                <w:tcPr>
                  <w:tcW w:w="2520" w:type="dxa"/>
                  <w:tcBorders>
                    <w:top w:val="single" w:sz="8" w:space="0" w:color="auto"/>
                    <w:left w:val="nil"/>
                    <w:bottom w:val="nil"/>
                    <w:right w:val="nil"/>
                  </w:tcBorders>
                  <w:shd w:val="clear" w:color="000000" w:fill="FFC000"/>
                  <w:noWrap/>
                  <w:vAlign w:val="center"/>
                  <w:hideMark/>
                </w:tcPr>
                <w:p w14:paraId="1787057D" w14:textId="77777777" w:rsidR="009B3898" w:rsidRPr="000F1142" w:rsidRDefault="006F63F6" w:rsidP="009B3898">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Sales</w:t>
                  </w:r>
                </w:p>
              </w:tc>
              <w:tc>
                <w:tcPr>
                  <w:tcW w:w="1420" w:type="dxa"/>
                  <w:tcBorders>
                    <w:top w:val="single" w:sz="8" w:space="0" w:color="auto"/>
                    <w:left w:val="nil"/>
                    <w:bottom w:val="nil"/>
                    <w:right w:val="nil"/>
                  </w:tcBorders>
                  <w:shd w:val="clear" w:color="000000" w:fill="FFC000"/>
                  <w:noWrap/>
                  <w:vAlign w:val="center"/>
                  <w:hideMark/>
                </w:tcPr>
                <w:p w14:paraId="31EA3F70" w14:textId="77777777" w:rsidR="009B3898" w:rsidRPr="000F1142" w:rsidRDefault="006F63F6" w:rsidP="009B3898">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234</w:t>
                  </w:r>
                </w:p>
              </w:tc>
              <w:tc>
                <w:tcPr>
                  <w:tcW w:w="1440" w:type="dxa"/>
                  <w:tcBorders>
                    <w:top w:val="nil"/>
                    <w:left w:val="nil"/>
                    <w:bottom w:val="nil"/>
                    <w:right w:val="nil"/>
                  </w:tcBorders>
                  <w:shd w:val="clear" w:color="000000" w:fill="FFC000"/>
                  <w:noWrap/>
                  <w:vAlign w:val="center"/>
                  <w:hideMark/>
                </w:tcPr>
                <w:p w14:paraId="029079EB" w14:textId="77777777" w:rsidR="009B3898" w:rsidRPr="000F1142" w:rsidRDefault="006F63F6" w:rsidP="009B3898">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218</w:t>
                  </w:r>
                </w:p>
              </w:tc>
              <w:tc>
                <w:tcPr>
                  <w:tcW w:w="1240" w:type="dxa"/>
                  <w:tcBorders>
                    <w:top w:val="nil"/>
                    <w:left w:val="nil"/>
                    <w:bottom w:val="nil"/>
                    <w:right w:val="nil"/>
                  </w:tcBorders>
                  <w:shd w:val="clear" w:color="000000" w:fill="FFC000"/>
                  <w:noWrap/>
                  <w:vAlign w:val="center"/>
                  <w:hideMark/>
                </w:tcPr>
                <w:p w14:paraId="7BA1D1C2" w14:textId="77777777" w:rsidR="009B3898" w:rsidRPr="000F1142" w:rsidRDefault="006F63F6" w:rsidP="009B3898">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7,6%</w:t>
                  </w:r>
                </w:p>
              </w:tc>
            </w:tr>
            <w:tr w:rsidR="00D9163E" w:rsidRPr="007713CB" w14:paraId="128814EC" w14:textId="77777777" w:rsidTr="009B3898">
              <w:trPr>
                <w:trHeight w:val="420"/>
              </w:trPr>
              <w:tc>
                <w:tcPr>
                  <w:tcW w:w="2520" w:type="dxa"/>
                  <w:tcBorders>
                    <w:top w:val="single" w:sz="8" w:space="0" w:color="auto"/>
                    <w:left w:val="nil"/>
                    <w:bottom w:val="nil"/>
                    <w:right w:val="nil"/>
                  </w:tcBorders>
                  <w:shd w:val="clear" w:color="000000" w:fill="F2F2F2"/>
                  <w:noWrap/>
                  <w:vAlign w:val="center"/>
                  <w:hideMark/>
                </w:tcPr>
                <w:p w14:paraId="2E61D6E3" w14:textId="77777777" w:rsidR="009B3898" w:rsidRPr="000F1142" w:rsidRDefault="006F63F6" w:rsidP="009B3898">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‎Operating profit</w:t>
                  </w:r>
                </w:p>
              </w:tc>
              <w:tc>
                <w:tcPr>
                  <w:tcW w:w="1420" w:type="dxa"/>
                  <w:tcBorders>
                    <w:top w:val="single" w:sz="8" w:space="0" w:color="auto"/>
                    <w:left w:val="nil"/>
                    <w:bottom w:val="nil"/>
                    <w:right w:val="nil"/>
                  </w:tcBorders>
                  <w:shd w:val="clear" w:color="000000" w:fill="F2F2F2"/>
                  <w:noWrap/>
                  <w:vAlign w:val="center"/>
                  <w:hideMark/>
                </w:tcPr>
                <w:p w14:paraId="7A7D94E2" w14:textId="77777777" w:rsidR="009B3898" w:rsidRPr="000F1142" w:rsidRDefault="006F63F6" w:rsidP="009B3898">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20</w:t>
                  </w:r>
                </w:p>
              </w:tc>
              <w:tc>
                <w:tcPr>
                  <w:tcW w:w="1440" w:type="dxa"/>
                  <w:tcBorders>
                    <w:top w:val="single" w:sz="8" w:space="0" w:color="auto"/>
                    <w:left w:val="nil"/>
                    <w:bottom w:val="nil"/>
                    <w:right w:val="nil"/>
                  </w:tcBorders>
                  <w:shd w:val="clear" w:color="000000" w:fill="F2F2F2"/>
                  <w:noWrap/>
                  <w:vAlign w:val="center"/>
                  <w:hideMark/>
                </w:tcPr>
                <w:p w14:paraId="3EC59AD0" w14:textId="77777777" w:rsidR="009B3898" w:rsidRPr="000F1142" w:rsidRDefault="006F63F6" w:rsidP="009B3898">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22</w:t>
                  </w:r>
                </w:p>
              </w:tc>
              <w:tc>
                <w:tcPr>
                  <w:tcW w:w="1240" w:type="dxa"/>
                  <w:tcBorders>
                    <w:top w:val="single" w:sz="8" w:space="0" w:color="auto"/>
                    <w:left w:val="nil"/>
                    <w:bottom w:val="nil"/>
                    <w:right w:val="nil"/>
                  </w:tcBorders>
                  <w:shd w:val="clear" w:color="000000" w:fill="F2F2F2"/>
                  <w:noWrap/>
                  <w:vAlign w:val="center"/>
                  <w:hideMark/>
                </w:tcPr>
                <w:p w14:paraId="3DD0E904" w14:textId="77777777" w:rsidR="009B3898" w:rsidRPr="000F1142" w:rsidRDefault="006F63F6" w:rsidP="009B3898">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-9.2%</w:t>
                  </w:r>
                </w:p>
              </w:tc>
            </w:tr>
            <w:tr w:rsidR="00D9163E" w:rsidRPr="007713CB" w14:paraId="4B31C3CC" w14:textId="77777777" w:rsidTr="009B3898">
              <w:trPr>
                <w:trHeight w:val="252"/>
              </w:trPr>
              <w:tc>
                <w:tcPr>
                  <w:tcW w:w="2520" w:type="dxa"/>
                  <w:tcBorders>
                    <w:top w:val="nil"/>
                    <w:left w:val="nil"/>
                    <w:bottom w:val="nil"/>
                    <w:right w:val="nil"/>
                  </w:tcBorders>
                  <w:shd w:val="clear" w:color="000000" w:fill="F2F2F2"/>
                  <w:noWrap/>
                  <w:vAlign w:val="center"/>
                  <w:hideMark/>
                </w:tcPr>
                <w:p w14:paraId="09976CBE" w14:textId="77777777" w:rsidR="009B3898" w:rsidRPr="000F1142" w:rsidRDefault="006F63F6" w:rsidP="009B3898">
                  <w:pPr>
                    <w:spacing w:after="0" w:line="240" w:lineRule="auto"/>
                    <w:rPr>
                      <w:rFonts w:ascii="Tahoma" w:eastAsia="Times New Roman" w:hAnsi="Tahoma" w:cs="Tahoma"/>
                      <w:color w:val="404040"/>
                      <w:lang w:val="en-US"/>
                    </w:rPr>
                  </w:pPr>
                  <w:r>
                    <w:rPr>
                      <w:rFonts w:ascii="Tahoma" w:eastAsia="Tahoma" w:hAnsi="Tahoma" w:cs="Tahoma"/>
                      <w:color w:val="404040"/>
                      <w:lang w:val="en-US"/>
                    </w:rPr>
                    <w:t>‎‎% of sales‎‎</w:t>
                  </w:r>
                </w:p>
              </w:tc>
              <w:tc>
                <w:tcPr>
                  <w:tcW w:w="1420" w:type="dxa"/>
                  <w:tcBorders>
                    <w:top w:val="nil"/>
                    <w:left w:val="nil"/>
                    <w:bottom w:val="nil"/>
                    <w:right w:val="nil"/>
                  </w:tcBorders>
                  <w:shd w:val="clear" w:color="000000" w:fill="F2F2F2"/>
                  <w:noWrap/>
                  <w:vAlign w:val="center"/>
                  <w:hideMark/>
                </w:tcPr>
                <w:p w14:paraId="113361AF" w14:textId="77777777" w:rsidR="009B3898" w:rsidRPr="000F1142" w:rsidRDefault="006F63F6" w:rsidP="009B3898">
                  <w:pPr>
                    <w:spacing w:after="0" w:line="240" w:lineRule="auto"/>
                    <w:rPr>
                      <w:rFonts w:ascii="Tahoma" w:eastAsia="Times New Roman" w:hAnsi="Tahoma" w:cs="Tahoma"/>
                      <w:color w:val="404040"/>
                      <w:lang w:val="en-US"/>
                    </w:rPr>
                  </w:pPr>
                  <w:r>
                    <w:rPr>
                      <w:rFonts w:ascii="Tahoma" w:eastAsia="Tahoma" w:hAnsi="Tahoma" w:cs="Tahoma"/>
                      <w:color w:val="404040"/>
                      <w:lang w:val="en-US"/>
                    </w:rPr>
                    <w:t>8.4%</w:t>
                  </w:r>
                </w:p>
              </w:tc>
              <w:tc>
                <w:tcPr>
                  <w:tcW w:w="1440" w:type="dxa"/>
                  <w:tcBorders>
                    <w:top w:val="nil"/>
                    <w:left w:val="nil"/>
                    <w:bottom w:val="nil"/>
                    <w:right w:val="nil"/>
                  </w:tcBorders>
                  <w:shd w:val="clear" w:color="000000" w:fill="F2F2F2"/>
                  <w:noWrap/>
                  <w:vAlign w:val="center"/>
                  <w:hideMark/>
                </w:tcPr>
                <w:p w14:paraId="7B3733F0" w14:textId="77777777" w:rsidR="009B3898" w:rsidRPr="000F1142" w:rsidRDefault="006F63F6" w:rsidP="009B3898">
                  <w:pPr>
                    <w:spacing w:after="0" w:line="240" w:lineRule="auto"/>
                    <w:rPr>
                      <w:rFonts w:ascii="Tahoma" w:eastAsia="Times New Roman" w:hAnsi="Tahoma" w:cs="Tahoma"/>
                      <w:color w:val="404040"/>
                      <w:lang w:val="en-US"/>
                    </w:rPr>
                  </w:pPr>
                  <w:r>
                    <w:rPr>
                      <w:rFonts w:ascii="Tahoma" w:eastAsia="Tahoma" w:hAnsi="Tahoma" w:cs="Tahoma"/>
                      <w:color w:val="404040"/>
                      <w:lang w:val="en-US"/>
                    </w:rPr>
                    <w:t>9.9%</w:t>
                  </w:r>
                </w:p>
              </w:tc>
              <w:tc>
                <w:tcPr>
                  <w:tcW w:w="1240" w:type="dxa"/>
                  <w:tcBorders>
                    <w:top w:val="nil"/>
                    <w:left w:val="nil"/>
                    <w:bottom w:val="nil"/>
                    <w:right w:val="nil"/>
                  </w:tcBorders>
                  <w:shd w:val="clear" w:color="000000" w:fill="F2F2F2"/>
                  <w:noWrap/>
                  <w:vAlign w:val="center"/>
                  <w:hideMark/>
                </w:tcPr>
                <w:p w14:paraId="0FD07554" w14:textId="77777777" w:rsidR="009B3898" w:rsidRPr="000F1142" w:rsidRDefault="006F63F6" w:rsidP="009B3898">
                  <w:pPr>
                    <w:spacing w:after="0" w:line="240" w:lineRule="auto"/>
                    <w:rPr>
                      <w:rFonts w:ascii="Tahoma" w:eastAsia="Times New Roman" w:hAnsi="Tahoma" w:cs="Tahoma"/>
                      <w:color w:val="404040"/>
                      <w:lang w:val="en-US"/>
                    </w:rPr>
                  </w:pPr>
                  <w:r>
                    <w:rPr>
                      <w:rFonts w:ascii="Tahoma" w:eastAsia="Tahoma" w:hAnsi="Tahoma" w:cs="Tahoma"/>
                      <w:color w:val="404040"/>
                      <w:lang w:val="en-US"/>
                    </w:rPr>
                    <w:t>-1,5% pp.</w:t>
                  </w:r>
                </w:p>
              </w:tc>
            </w:tr>
            <w:tr w:rsidR="00D9163E" w:rsidRPr="007713CB" w14:paraId="5BD25322" w14:textId="77777777" w:rsidTr="009B3898">
              <w:trPr>
                <w:trHeight w:val="420"/>
              </w:trPr>
              <w:tc>
                <w:tcPr>
                  <w:tcW w:w="2520" w:type="dxa"/>
                  <w:tcBorders>
                    <w:top w:val="single" w:sz="4" w:space="0" w:color="auto"/>
                    <w:left w:val="nil"/>
                    <w:bottom w:val="nil"/>
                    <w:right w:val="nil"/>
                  </w:tcBorders>
                  <w:shd w:val="clear" w:color="000000" w:fill="F2F2F2"/>
                  <w:noWrap/>
                  <w:vAlign w:val="center"/>
                  <w:hideMark/>
                </w:tcPr>
                <w:p w14:paraId="4F31505C" w14:textId="77777777" w:rsidR="009B3898" w:rsidRPr="000F1142" w:rsidRDefault="006F63F6" w:rsidP="009B3898">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Gross profit</w:t>
                  </w:r>
                </w:p>
              </w:tc>
              <w:tc>
                <w:tcPr>
                  <w:tcW w:w="1420" w:type="dxa"/>
                  <w:tcBorders>
                    <w:top w:val="single" w:sz="4" w:space="0" w:color="auto"/>
                    <w:left w:val="nil"/>
                    <w:bottom w:val="nil"/>
                    <w:right w:val="nil"/>
                  </w:tcBorders>
                  <w:shd w:val="clear" w:color="000000" w:fill="F2F2F2"/>
                  <w:noWrap/>
                  <w:vAlign w:val="center"/>
                  <w:hideMark/>
                </w:tcPr>
                <w:p w14:paraId="31E4BECD" w14:textId="77777777" w:rsidR="009B3898" w:rsidRPr="000F1142" w:rsidRDefault="006F63F6" w:rsidP="009B3898">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21</w:t>
                  </w:r>
                </w:p>
              </w:tc>
              <w:tc>
                <w:tcPr>
                  <w:tcW w:w="1440" w:type="dxa"/>
                  <w:tcBorders>
                    <w:top w:val="single" w:sz="4" w:space="0" w:color="auto"/>
                    <w:left w:val="nil"/>
                    <w:bottom w:val="nil"/>
                    <w:right w:val="nil"/>
                  </w:tcBorders>
                  <w:shd w:val="clear" w:color="000000" w:fill="F2F2F2"/>
                  <w:noWrap/>
                  <w:vAlign w:val="center"/>
                  <w:hideMark/>
                </w:tcPr>
                <w:p w14:paraId="2F788F19" w14:textId="77777777" w:rsidR="009B3898" w:rsidRPr="000F1142" w:rsidRDefault="006F63F6" w:rsidP="009B3898">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23</w:t>
                  </w:r>
                </w:p>
              </w:tc>
              <w:tc>
                <w:tcPr>
                  <w:tcW w:w="1240" w:type="dxa"/>
                  <w:tcBorders>
                    <w:top w:val="single" w:sz="4" w:space="0" w:color="auto"/>
                    <w:left w:val="nil"/>
                    <w:bottom w:val="nil"/>
                    <w:right w:val="nil"/>
                  </w:tcBorders>
                  <w:shd w:val="clear" w:color="000000" w:fill="F2F2F2"/>
                  <w:noWrap/>
                  <w:vAlign w:val="center"/>
                  <w:hideMark/>
                </w:tcPr>
                <w:p w14:paraId="3F1676A4" w14:textId="77777777" w:rsidR="009B3898" w:rsidRPr="000F1142" w:rsidRDefault="006F63F6" w:rsidP="009B3898">
                  <w:pPr>
                    <w:spacing w:after="0" w:line="240" w:lineRule="auto"/>
                    <w:rPr>
                      <w:rFonts w:ascii="Tahoma" w:eastAsia="Times New Roman" w:hAnsi="Tahoma" w:cs="Tahoma"/>
                      <w:b/>
                      <w:bCs/>
                      <w:color w:val="404040"/>
                      <w:lang w:val="en-US"/>
                    </w:rPr>
                  </w:pPr>
                  <w:r>
                    <w:rPr>
                      <w:rFonts w:ascii="Tahoma" w:eastAsia="Tahoma" w:hAnsi="Tahoma" w:cs="Tahoma"/>
                      <w:b/>
                      <w:bCs/>
                      <w:color w:val="404040"/>
                      <w:lang w:val="en-US"/>
                    </w:rPr>
                    <w:t>-9.1%</w:t>
                  </w:r>
                </w:p>
              </w:tc>
            </w:tr>
            <w:tr w:rsidR="00D9163E" w:rsidRPr="007713CB" w14:paraId="5D4D4693" w14:textId="77777777" w:rsidTr="009B3898">
              <w:trPr>
                <w:trHeight w:val="252"/>
              </w:trPr>
              <w:tc>
                <w:tcPr>
                  <w:tcW w:w="2520" w:type="dxa"/>
                  <w:tcBorders>
                    <w:top w:val="nil"/>
                    <w:left w:val="nil"/>
                    <w:bottom w:val="single" w:sz="4" w:space="0" w:color="auto"/>
                    <w:right w:val="nil"/>
                  </w:tcBorders>
                  <w:shd w:val="clear" w:color="000000" w:fill="F2F2F2"/>
                  <w:noWrap/>
                  <w:vAlign w:val="center"/>
                  <w:hideMark/>
                </w:tcPr>
                <w:p w14:paraId="2ECC2C39" w14:textId="77777777" w:rsidR="009B3898" w:rsidRPr="000F1142" w:rsidRDefault="006F63F6" w:rsidP="009B3898">
                  <w:pPr>
                    <w:spacing w:after="0" w:line="240" w:lineRule="auto"/>
                    <w:rPr>
                      <w:rFonts w:ascii="Tahoma" w:eastAsia="Times New Roman" w:hAnsi="Tahoma" w:cs="Tahoma"/>
                      <w:color w:val="404040"/>
                      <w:lang w:val="en-US"/>
                    </w:rPr>
                  </w:pPr>
                  <w:r>
                    <w:rPr>
                      <w:rFonts w:ascii="Tahoma" w:eastAsia="Tahoma" w:hAnsi="Tahoma" w:cs="Tahoma"/>
                      <w:color w:val="404040"/>
                      <w:lang w:val="en-US"/>
                    </w:rPr>
                    <w:t>‎‎% of sales‎‎</w:t>
                  </w:r>
                </w:p>
              </w:tc>
              <w:tc>
                <w:tcPr>
                  <w:tcW w:w="1420" w:type="dxa"/>
                  <w:tcBorders>
                    <w:top w:val="nil"/>
                    <w:left w:val="nil"/>
                    <w:bottom w:val="single" w:sz="4" w:space="0" w:color="auto"/>
                    <w:right w:val="nil"/>
                  </w:tcBorders>
                  <w:shd w:val="clear" w:color="000000" w:fill="F2F2F2"/>
                  <w:noWrap/>
                  <w:vAlign w:val="center"/>
                  <w:hideMark/>
                </w:tcPr>
                <w:p w14:paraId="69C95D9F" w14:textId="77777777" w:rsidR="009B3898" w:rsidRPr="000F1142" w:rsidRDefault="006F63F6" w:rsidP="009B3898">
                  <w:pPr>
                    <w:spacing w:after="0" w:line="240" w:lineRule="auto"/>
                    <w:rPr>
                      <w:rFonts w:ascii="Tahoma" w:eastAsia="Times New Roman" w:hAnsi="Tahoma" w:cs="Tahoma"/>
                      <w:color w:val="404040"/>
                      <w:lang w:val="en-US"/>
                    </w:rPr>
                  </w:pPr>
                  <w:r>
                    <w:rPr>
                      <w:rFonts w:ascii="Tahoma" w:eastAsia="Tahoma" w:hAnsi="Tahoma" w:cs="Tahoma"/>
                      <w:color w:val="404040"/>
                      <w:lang w:val="en-US"/>
                    </w:rPr>
                    <w:t>8.9%</w:t>
                  </w:r>
                </w:p>
              </w:tc>
              <w:tc>
                <w:tcPr>
                  <w:tcW w:w="1440" w:type="dxa"/>
                  <w:tcBorders>
                    <w:top w:val="nil"/>
                    <w:left w:val="nil"/>
                    <w:bottom w:val="single" w:sz="4" w:space="0" w:color="auto"/>
                    <w:right w:val="nil"/>
                  </w:tcBorders>
                  <w:shd w:val="clear" w:color="000000" w:fill="F2F2F2"/>
                  <w:noWrap/>
                  <w:vAlign w:val="center"/>
                  <w:hideMark/>
                </w:tcPr>
                <w:p w14:paraId="6D199193" w14:textId="77777777" w:rsidR="009B3898" w:rsidRPr="000F1142" w:rsidRDefault="006F63F6" w:rsidP="009B3898">
                  <w:pPr>
                    <w:spacing w:after="0" w:line="240" w:lineRule="auto"/>
                    <w:rPr>
                      <w:rFonts w:ascii="Tahoma" w:eastAsia="Times New Roman" w:hAnsi="Tahoma" w:cs="Tahoma"/>
                      <w:color w:val="404040"/>
                      <w:lang w:val="en-US"/>
                    </w:rPr>
                  </w:pPr>
                  <w:r>
                    <w:rPr>
                      <w:rFonts w:ascii="Tahoma" w:eastAsia="Tahoma" w:hAnsi="Tahoma" w:cs="Tahoma"/>
                      <w:color w:val="404040"/>
                      <w:lang w:val="en-US"/>
                    </w:rPr>
                    <w:t>10.5%</w:t>
                  </w:r>
                </w:p>
              </w:tc>
              <w:tc>
                <w:tcPr>
                  <w:tcW w:w="1240" w:type="dxa"/>
                  <w:tcBorders>
                    <w:top w:val="nil"/>
                    <w:left w:val="nil"/>
                    <w:bottom w:val="single" w:sz="4" w:space="0" w:color="auto"/>
                    <w:right w:val="nil"/>
                  </w:tcBorders>
                  <w:shd w:val="clear" w:color="000000" w:fill="F2F2F2"/>
                  <w:noWrap/>
                  <w:vAlign w:val="center"/>
                  <w:hideMark/>
                </w:tcPr>
                <w:p w14:paraId="08F29510" w14:textId="77777777" w:rsidR="009B3898" w:rsidRPr="000F1142" w:rsidRDefault="006F63F6" w:rsidP="009B3898">
                  <w:pPr>
                    <w:spacing w:after="0" w:line="240" w:lineRule="auto"/>
                    <w:rPr>
                      <w:rFonts w:ascii="Tahoma" w:eastAsia="Times New Roman" w:hAnsi="Tahoma" w:cs="Tahoma"/>
                      <w:color w:val="404040"/>
                      <w:lang w:val="en-US"/>
                    </w:rPr>
                  </w:pPr>
                  <w:r>
                    <w:rPr>
                      <w:rFonts w:ascii="Tahoma" w:eastAsia="Tahoma" w:hAnsi="Tahoma" w:cs="Tahoma"/>
                      <w:color w:val="404040"/>
                      <w:lang w:val="en-US"/>
                    </w:rPr>
                    <w:t>-1,6% pp.</w:t>
                  </w:r>
                </w:p>
              </w:tc>
            </w:tr>
          </w:tbl>
          <w:p w14:paraId="78996558" w14:textId="77777777" w:rsidR="00D4399C" w:rsidRPr="000F1142" w:rsidRDefault="00D4399C" w:rsidP="00D4399C">
            <w:pPr>
              <w:spacing w:line="360" w:lineRule="auto"/>
              <w:jc w:val="both"/>
              <w:rPr>
                <w:rStyle w:val="Odwoaniedokomentarza"/>
                <w:bCs/>
                <w:highlight w:val="yellow"/>
                <w:lang w:val="en-US"/>
              </w:rPr>
            </w:pPr>
          </w:p>
          <w:p w14:paraId="2FD1C90C" w14:textId="77777777" w:rsidR="00277101" w:rsidRPr="000F1142" w:rsidRDefault="00277101" w:rsidP="00277101">
            <w:pPr>
              <w:rPr>
                <w:bCs/>
                <w:lang w:val="en-US"/>
              </w:rPr>
            </w:pPr>
            <w:bookmarkStart w:id="0" w:name="_Hlk77692426"/>
            <w:bookmarkStart w:id="1" w:name="_Hlk100758814"/>
          </w:p>
          <w:p w14:paraId="1E1A9060" w14:textId="77777777" w:rsidR="00910F1A" w:rsidRPr="000F1142" w:rsidRDefault="006F63F6" w:rsidP="00775CAB">
            <w:pPr>
              <w:spacing w:line="360" w:lineRule="auto"/>
              <w:jc w:val="both"/>
              <w:rPr>
                <w:rFonts w:ascii="Tahoma" w:eastAsia="Tahoma" w:hAnsi="Tahoma" w:cs="Tahoma"/>
                <w:bCs/>
                <w:color w:val="808080"/>
                <w:sz w:val="18"/>
                <w:szCs w:val="18"/>
                <w:lang w:val="en-US"/>
              </w:rPr>
            </w:pPr>
            <w:r>
              <w:rPr>
                <w:rFonts w:ascii="Tahoma" w:eastAsia="Tahoma" w:hAnsi="Tahoma" w:cs="Tahoma"/>
                <w:bCs/>
                <w:color w:val="808080"/>
                <w:sz w:val="18"/>
                <w:szCs w:val="18"/>
                <w:lang w:val="en-US"/>
              </w:rPr>
              <w:t xml:space="preserve">Revenues of the FBSerwis Group, which is a key asset within the services ‎segment (the results of the services segment also include the activities of ‎companies in the RES area, Budimex Mobility and Budimex Parking Wrocław), </w:t>
            </w:r>
            <w:r>
              <w:rPr>
                <w:rFonts w:ascii="Tahoma" w:eastAsia="Tahoma" w:hAnsi="Tahoma" w:cs="Tahoma"/>
                <w:bCs/>
                <w:color w:val="808080"/>
                <w:sz w:val="18"/>
                <w:szCs w:val="18"/>
                <w:lang w:val="en-US"/>
              </w:rPr>
              <w:t>amounted to PLN ‎‎230 million and were 6,1% higher than in the same period of the previous year.</w:t>
            </w:r>
            <w:bookmarkEnd w:id="0"/>
            <w:bookmarkEnd w:id="1"/>
          </w:p>
          <w:p w14:paraId="7C21837F" w14:textId="77777777" w:rsidR="00FE076E" w:rsidRPr="000F1142" w:rsidRDefault="00FE076E" w:rsidP="00775CAB">
            <w:pPr>
              <w:spacing w:line="360" w:lineRule="auto"/>
              <w:jc w:val="both"/>
              <w:rPr>
                <w:rFonts w:ascii="Tahoma" w:eastAsia="Tahoma" w:hAnsi="Tahoma" w:cs="Tahoma"/>
                <w:bCs/>
                <w:color w:val="808080"/>
                <w:sz w:val="18"/>
                <w:szCs w:val="18"/>
                <w:highlight w:val="yellow"/>
                <w:lang w:val="en-US"/>
              </w:rPr>
            </w:pPr>
          </w:p>
          <w:p w14:paraId="2CBE8A10" w14:textId="77777777" w:rsidR="00FC43CA" w:rsidRPr="000F1142" w:rsidRDefault="006F63F6" w:rsidP="00FC43CA">
            <w:pPr>
              <w:spacing w:line="360" w:lineRule="auto"/>
              <w:jc w:val="both"/>
              <w:rPr>
                <w:rFonts w:ascii="Tahoma" w:eastAsia="Tahoma" w:hAnsi="Tahoma" w:cs="Tahoma"/>
                <w:b/>
                <w:noProof/>
                <w:color w:val="808080"/>
                <w:sz w:val="18"/>
                <w:szCs w:val="18"/>
                <w:lang w:val="en-US"/>
              </w:rPr>
            </w:pPr>
            <w:r>
              <w:rPr>
                <w:rFonts w:ascii="Tahoma" w:eastAsia="Tahoma" w:hAnsi="Tahoma" w:cs="Tahoma"/>
                <w:b/>
                <w:bCs/>
                <w:noProof/>
                <w:color w:val="808080"/>
                <w:sz w:val="18"/>
                <w:szCs w:val="18"/>
                <w:lang w:val="en-US"/>
              </w:rPr>
              <w:t xml:space="preserve">Market outlook </w:t>
            </w:r>
          </w:p>
          <w:p w14:paraId="24C34315" w14:textId="77777777" w:rsidR="004572A8" w:rsidRPr="000F1142" w:rsidRDefault="004572A8" w:rsidP="004572A8">
            <w:pPr>
              <w:spacing w:line="360" w:lineRule="auto"/>
              <w:jc w:val="both"/>
              <w:rPr>
                <w:rFonts w:ascii="Tahoma" w:eastAsia="Tahoma" w:hAnsi="Tahoma" w:cs="Tahoma"/>
                <w:bCs/>
                <w:color w:val="808080"/>
                <w:sz w:val="18"/>
                <w:szCs w:val="18"/>
                <w:highlight w:val="magenta"/>
                <w:lang w:val="en-US"/>
              </w:rPr>
            </w:pPr>
          </w:p>
          <w:p w14:paraId="71F14A1A" w14:textId="433BBAC5" w:rsidR="00962694" w:rsidRPr="000F1142" w:rsidRDefault="006F63F6" w:rsidP="00962694">
            <w:pPr>
              <w:spacing w:line="360" w:lineRule="auto"/>
              <w:jc w:val="both"/>
              <w:rPr>
                <w:rFonts w:ascii="Tahoma" w:eastAsia="Tahoma" w:hAnsi="Tahoma" w:cs="Tahoma"/>
                <w:bCs/>
                <w:color w:val="808080"/>
                <w:sz w:val="18"/>
                <w:szCs w:val="18"/>
                <w:lang w:val="en-US"/>
              </w:rPr>
            </w:pPr>
            <w:r>
              <w:rPr>
                <w:rFonts w:ascii="Tahoma" w:eastAsia="Tahoma" w:hAnsi="Tahoma" w:cs="Tahoma"/>
                <w:bCs/>
                <w:color w:val="808080"/>
                <w:sz w:val="18"/>
                <w:szCs w:val="18"/>
                <w:lang w:val="en-US"/>
              </w:rPr>
              <w:t>The orderbook of the Budimex Group reached a record level at the end of ‎the first quarter of 2024, exceeding PLN 14 billion</w:t>
            </w:r>
            <w:r w:rsidR="000F1142">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 xml:space="preserve">This level fully secures </w:t>
            </w:r>
            <w:r w:rsidR="000F1142">
              <w:rPr>
                <w:rFonts w:ascii="Tahoma" w:eastAsia="Tahoma" w:hAnsi="Tahoma" w:cs="Tahoma"/>
                <w:bCs/>
                <w:color w:val="808080"/>
                <w:sz w:val="18"/>
                <w:szCs w:val="18"/>
                <w:lang w:val="en-US"/>
              </w:rPr>
              <w:t>work</w:t>
            </w:r>
            <w:r>
              <w:rPr>
                <w:rFonts w:ascii="Tahoma" w:eastAsia="Tahoma" w:hAnsi="Tahoma" w:cs="Tahoma"/>
                <w:bCs/>
                <w:color w:val="808080"/>
                <w:sz w:val="18"/>
                <w:szCs w:val="18"/>
                <w:lang w:val="en-US"/>
              </w:rPr>
              <w:t xml:space="preserve"> until the end of the current year and at the same time provides a ‎</w:t>
            </w:r>
            <w:r w:rsidR="000F1142">
              <w:rPr>
                <w:rFonts w:ascii="Tahoma" w:eastAsia="Tahoma" w:hAnsi="Tahoma" w:cs="Tahoma"/>
                <w:bCs/>
                <w:color w:val="808080"/>
                <w:sz w:val="18"/>
                <w:szCs w:val="18"/>
                <w:lang w:val="en-US"/>
              </w:rPr>
              <w:t>solid foundation</w:t>
            </w:r>
            <w:r>
              <w:rPr>
                <w:rFonts w:ascii="Tahoma" w:eastAsia="Tahoma" w:hAnsi="Tahoma" w:cs="Tahoma"/>
                <w:bCs/>
                <w:color w:val="808080"/>
                <w:sz w:val="18"/>
                <w:szCs w:val="18"/>
                <w:lang w:val="en-US"/>
              </w:rPr>
              <w:t xml:space="preserve"> for the business for 2025-2026</w:t>
            </w:r>
            <w:r w:rsidR="000F1142">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The current orderbo</w:t>
            </w:r>
            <w:r w:rsidR="000F1142">
              <w:rPr>
                <w:rFonts w:ascii="Tahoma" w:eastAsia="Tahoma" w:hAnsi="Tahoma" w:cs="Tahoma"/>
                <w:bCs/>
                <w:color w:val="808080"/>
                <w:sz w:val="18"/>
                <w:szCs w:val="18"/>
                <w:lang w:val="en-US"/>
              </w:rPr>
              <w:t>o</w:t>
            </w:r>
            <w:r>
              <w:rPr>
                <w:rFonts w:ascii="Tahoma" w:eastAsia="Tahoma" w:hAnsi="Tahoma" w:cs="Tahoma"/>
                <w:bCs/>
                <w:color w:val="808080"/>
                <w:sz w:val="18"/>
                <w:szCs w:val="18"/>
                <w:lang w:val="en-US"/>
              </w:rPr>
              <w:t>k offers ‎the prospect of stable margins, it was built on contracts signed in the last 2-3</w:t>
            </w:r>
            <w:r>
              <w:rPr>
                <w:rFonts w:ascii="Tahoma" w:eastAsia="Tahoma" w:hAnsi="Tahoma" w:cs="Tahoma"/>
                <w:bCs/>
                <w:color w:val="808080"/>
                <w:sz w:val="18"/>
                <w:szCs w:val="18"/>
                <w:lang w:val="en-US"/>
              </w:rPr>
              <w:t xml:space="preserve"> ‎years, which were bid at current prices, and additionally, valorisation is ‎foreseen in most projects. </w:t>
            </w:r>
          </w:p>
          <w:p w14:paraId="50B4C09B" w14:textId="77777777" w:rsidR="00E84D17" w:rsidRPr="000F1142" w:rsidRDefault="00E84D17" w:rsidP="00962694">
            <w:pPr>
              <w:spacing w:line="360" w:lineRule="auto"/>
              <w:jc w:val="both"/>
              <w:rPr>
                <w:rFonts w:ascii="Tahoma" w:eastAsia="Tahoma" w:hAnsi="Tahoma" w:cs="Tahoma"/>
                <w:bCs/>
                <w:color w:val="808080"/>
                <w:sz w:val="18"/>
                <w:szCs w:val="18"/>
                <w:lang w:val="en-US"/>
              </w:rPr>
            </w:pPr>
          </w:p>
          <w:p w14:paraId="414DC935" w14:textId="525B7D40" w:rsidR="00962694" w:rsidRPr="000F1142" w:rsidRDefault="006F63F6" w:rsidP="00962694">
            <w:pPr>
              <w:spacing w:line="360" w:lineRule="auto"/>
              <w:jc w:val="both"/>
              <w:rPr>
                <w:rFonts w:ascii="Tahoma" w:eastAsia="Tahoma" w:hAnsi="Tahoma" w:cs="Tahoma"/>
                <w:bCs/>
                <w:color w:val="808080"/>
                <w:sz w:val="18"/>
                <w:szCs w:val="18"/>
                <w:lang w:val="en-US"/>
              </w:rPr>
            </w:pPr>
            <w:r>
              <w:rPr>
                <w:rFonts w:ascii="Tahoma" w:eastAsia="Tahoma" w:hAnsi="Tahoma" w:cs="Tahoma"/>
                <w:bCs/>
                <w:color w:val="808080"/>
                <w:sz w:val="18"/>
                <w:szCs w:val="18"/>
                <w:lang w:val="en-US"/>
              </w:rPr>
              <w:t>‎The past several quarters in the Budimex Group have been the time of intensive ‎work and preparation of the organisation for growth in the following</w:t>
            </w:r>
            <w:r>
              <w:rPr>
                <w:rFonts w:ascii="Tahoma" w:eastAsia="Tahoma" w:hAnsi="Tahoma" w:cs="Tahoma"/>
                <w:bCs/>
                <w:color w:val="808080"/>
                <w:sz w:val="18"/>
                <w:szCs w:val="18"/>
                <w:lang w:val="en-US"/>
              </w:rPr>
              <w:t xml:space="preserve"> years, both ‎on the Polish and neighbouring markets. We have built the structures necessary ‎for the effective realisation of a record orderbook. Our activities </w:t>
            </w:r>
            <w:r w:rsidR="000F1142">
              <w:rPr>
                <w:rFonts w:ascii="Tahoma" w:eastAsia="Tahoma" w:hAnsi="Tahoma" w:cs="Tahoma"/>
                <w:bCs/>
                <w:color w:val="808080"/>
                <w:sz w:val="18"/>
                <w:szCs w:val="18"/>
                <w:lang w:val="en-US"/>
              </w:rPr>
              <w:t>aim</w:t>
            </w:r>
            <w:r>
              <w:rPr>
                <w:rFonts w:ascii="Tahoma" w:eastAsia="Tahoma" w:hAnsi="Tahoma" w:cs="Tahoma"/>
                <w:bCs/>
                <w:color w:val="808080"/>
                <w:sz w:val="18"/>
                <w:szCs w:val="18"/>
                <w:lang w:val="en-US"/>
              </w:rPr>
              <w:t xml:space="preserve"> at preparing the entire organisation for sustainable growth, taking into ‎account the ambi</w:t>
            </w:r>
            <w:r>
              <w:rPr>
                <w:rFonts w:ascii="Tahoma" w:eastAsia="Tahoma" w:hAnsi="Tahoma" w:cs="Tahoma"/>
                <w:bCs/>
                <w:color w:val="808080"/>
                <w:sz w:val="18"/>
                <w:szCs w:val="18"/>
                <w:lang w:val="en-US"/>
              </w:rPr>
              <w:t xml:space="preserve">tious goals we have set in the ESG strategy for 2023-2026. ‎ </w:t>
            </w:r>
          </w:p>
          <w:p w14:paraId="602CDA5B" w14:textId="77777777" w:rsidR="00E84D17" w:rsidRPr="000F1142" w:rsidRDefault="00E84D17" w:rsidP="00962694">
            <w:pPr>
              <w:spacing w:line="360" w:lineRule="auto"/>
              <w:jc w:val="both"/>
              <w:rPr>
                <w:rFonts w:ascii="Tahoma" w:eastAsia="Tahoma" w:hAnsi="Tahoma" w:cs="Tahoma"/>
                <w:bCs/>
                <w:color w:val="808080"/>
                <w:sz w:val="18"/>
                <w:szCs w:val="18"/>
                <w:lang w:val="en-US"/>
              </w:rPr>
            </w:pPr>
          </w:p>
          <w:p w14:paraId="33C1C8AD" w14:textId="38D52FD8" w:rsidR="00962694" w:rsidRPr="000F1142" w:rsidRDefault="006F63F6" w:rsidP="00962694">
            <w:pPr>
              <w:spacing w:line="360" w:lineRule="auto"/>
              <w:jc w:val="both"/>
              <w:rPr>
                <w:rFonts w:ascii="Tahoma" w:eastAsia="Tahoma" w:hAnsi="Tahoma" w:cs="Tahoma"/>
                <w:bCs/>
                <w:color w:val="808080"/>
                <w:sz w:val="18"/>
                <w:szCs w:val="18"/>
                <w:lang w:val="en-US"/>
              </w:rPr>
            </w:pPr>
            <w:r>
              <w:rPr>
                <w:rFonts w:ascii="Tahoma" w:eastAsia="Tahoma" w:hAnsi="Tahoma" w:cs="Tahoma"/>
                <w:bCs/>
                <w:color w:val="808080"/>
                <w:sz w:val="18"/>
                <w:szCs w:val="18"/>
                <w:lang w:val="en-US"/>
              </w:rPr>
              <w:t>We fulfil our business objectives on daily basis by adapting to ‎dynamically changing conditions. Recent years have shown that we need to ‎carefully observe the environment and respond accordin</w:t>
            </w:r>
            <w:r>
              <w:rPr>
                <w:rFonts w:ascii="Tahoma" w:eastAsia="Tahoma" w:hAnsi="Tahoma" w:cs="Tahoma"/>
                <w:bCs/>
                <w:color w:val="808080"/>
                <w:sz w:val="18"/>
                <w:szCs w:val="18"/>
                <w:lang w:val="en-US"/>
              </w:rPr>
              <w:t>gly in a way that allows ‎us to achieve our objectives responsibly in the long term</w:t>
            </w:r>
            <w:r w:rsidR="000F1142">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 xml:space="preserve">Looking ahead to the next quarters, there are challenges on the horizon related to cost control and effective management of human resources in the face of an insufficient </w:t>
            </w:r>
            <w:r>
              <w:rPr>
                <w:rFonts w:ascii="Tahoma" w:eastAsia="Tahoma" w:hAnsi="Tahoma" w:cs="Tahoma"/>
                <w:bCs/>
                <w:color w:val="808080"/>
                <w:sz w:val="18"/>
                <w:szCs w:val="18"/>
                <w:lang w:val="en-US"/>
              </w:rPr>
              <w:t>number of qualified employees, as well as the reconstruction of the orderbook in the railway and energy areas</w:t>
            </w:r>
            <w:r w:rsidR="000F1142">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Our concerns about tougher competition in recent quarters have materialized</w:t>
            </w:r>
            <w:r w:rsidR="000F1142">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 xml:space="preserve">However, we still approach </w:t>
            </w:r>
            <w:r w:rsidR="000F1142">
              <w:rPr>
                <w:rFonts w:ascii="Tahoma" w:eastAsia="Tahoma" w:hAnsi="Tahoma" w:cs="Tahoma"/>
                <w:bCs/>
                <w:color w:val="808080"/>
                <w:sz w:val="18"/>
                <w:szCs w:val="18"/>
                <w:lang w:val="en-US"/>
              </w:rPr>
              <w:t>current offers</w:t>
            </w:r>
            <w:r>
              <w:rPr>
                <w:rFonts w:ascii="Tahoma" w:eastAsia="Tahoma" w:hAnsi="Tahoma" w:cs="Tahoma"/>
                <w:bCs/>
                <w:color w:val="808080"/>
                <w:sz w:val="18"/>
                <w:szCs w:val="18"/>
                <w:lang w:val="en-US"/>
              </w:rPr>
              <w:t xml:space="preserve"> with caution, calculating </w:t>
            </w:r>
            <w:r>
              <w:rPr>
                <w:rFonts w:ascii="Tahoma" w:eastAsia="Tahoma" w:hAnsi="Tahoma" w:cs="Tahoma"/>
                <w:bCs/>
                <w:color w:val="808080"/>
                <w:sz w:val="18"/>
                <w:szCs w:val="18"/>
                <w:lang w:val="en-US"/>
              </w:rPr>
              <w:t>cost estimates reliably and responsibly</w:t>
            </w:r>
            <w:r w:rsidR="000F1142">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The Group's priority is to acquire profitable contracts with well-identified risks</w:t>
            </w:r>
            <w:r w:rsidR="000F1142">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 xml:space="preserve">We hope that other market players will also approach the submission of bids in the coming months with diligence and </w:t>
            </w:r>
            <w:r w:rsidR="000F1142">
              <w:rPr>
                <w:rFonts w:ascii="Tahoma" w:eastAsia="Tahoma" w:hAnsi="Tahoma" w:cs="Tahoma"/>
                <w:bCs/>
                <w:color w:val="808080"/>
                <w:sz w:val="18"/>
                <w:szCs w:val="18"/>
                <w:lang w:val="en-US"/>
              </w:rPr>
              <w:t>consideration</w:t>
            </w:r>
            <w:r>
              <w:rPr>
                <w:rFonts w:ascii="Tahoma" w:eastAsia="Tahoma" w:hAnsi="Tahoma" w:cs="Tahoma"/>
                <w:bCs/>
                <w:color w:val="808080"/>
                <w:sz w:val="18"/>
                <w:szCs w:val="18"/>
                <w:lang w:val="en-US"/>
              </w:rPr>
              <w:t xml:space="preserve">. </w:t>
            </w:r>
          </w:p>
          <w:p w14:paraId="2C3C52BD" w14:textId="77777777" w:rsidR="00E84D17" w:rsidRPr="000F1142" w:rsidRDefault="00E84D17" w:rsidP="00962694">
            <w:pPr>
              <w:spacing w:line="360" w:lineRule="auto"/>
              <w:jc w:val="both"/>
              <w:rPr>
                <w:rFonts w:ascii="Tahoma" w:eastAsia="Tahoma" w:hAnsi="Tahoma" w:cs="Tahoma"/>
                <w:bCs/>
                <w:color w:val="808080"/>
                <w:sz w:val="18"/>
                <w:szCs w:val="18"/>
                <w:lang w:val="en-US"/>
              </w:rPr>
            </w:pPr>
          </w:p>
          <w:p w14:paraId="213EF7DA" w14:textId="6BF54F67" w:rsidR="00962694" w:rsidRPr="000F1142" w:rsidRDefault="006F63F6" w:rsidP="00962694">
            <w:pPr>
              <w:spacing w:line="360" w:lineRule="auto"/>
              <w:jc w:val="both"/>
              <w:rPr>
                <w:rFonts w:ascii="Tahoma" w:eastAsia="Tahoma" w:hAnsi="Tahoma" w:cs="Tahoma"/>
                <w:bCs/>
                <w:color w:val="808080"/>
                <w:sz w:val="18"/>
                <w:szCs w:val="18"/>
                <w:lang w:val="en-US"/>
              </w:rPr>
            </w:pPr>
            <w:r>
              <w:rPr>
                <w:rFonts w:ascii="Tahoma" w:eastAsia="Tahoma" w:hAnsi="Tahoma" w:cs="Tahoma"/>
                <w:bCs/>
                <w:color w:val="808080"/>
                <w:sz w:val="18"/>
                <w:szCs w:val="18"/>
                <w:lang w:val="en-US"/>
              </w:rPr>
              <w:t>Aggressive competition for orders and fluctuations in the tendering activities of key ordering parties related to investment cycles confirm that we have chosen the right course of development</w:t>
            </w:r>
            <w:r w:rsidR="000F1142">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We hope that segmental diversification through ‎strengthening</w:t>
            </w:r>
            <w:r>
              <w:rPr>
                <w:rFonts w:ascii="Tahoma" w:eastAsia="Tahoma" w:hAnsi="Tahoma" w:cs="Tahoma"/>
                <w:bCs/>
                <w:color w:val="808080"/>
                <w:sz w:val="18"/>
                <w:szCs w:val="18"/>
                <w:lang w:val="en-US"/>
              </w:rPr>
              <w:t xml:space="preserve"> our position in the hydro-engineering segment, entry into the ‎energy transmission market, and expansion into foreign markets will allow us to ‎maintain the long-term trend of growth in the orderbook and revenues of the ‎construction segment</w:t>
            </w:r>
            <w:r w:rsidR="000F1142">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Additional g</w:t>
            </w:r>
            <w:r>
              <w:rPr>
                <w:rFonts w:ascii="Tahoma" w:eastAsia="Tahoma" w:hAnsi="Tahoma" w:cs="Tahoma"/>
                <w:bCs/>
                <w:color w:val="808080"/>
                <w:sz w:val="18"/>
                <w:szCs w:val="18"/>
                <w:lang w:val="en-US"/>
              </w:rPr>
              <w:t xml:space="preserve">rowth impetus for the construction part will ‎come from development projects carried out with partners and internal projects ‎in the RES area.  </w:t>
            </w:r>
          </w:p>
          <w:p w14:paraId="07B71BD9" w14:textId="77777777" w:rsidR="00E84D17" w:rsidRPr="000F1142" w:rsidRDefault="006F63F6" w:rsidP="00962694">
            <w:pPr>
              <w:spacing w:line="360" w:lineRule="auto"/>
              <w:jc w:val="both"/>
              <w:rPr>
                <w:rFonts w:ascii="Tahoma" w:eastAsia="Tahoma" w:hAnsi="Tahoma" w:cs="Tahoma"/>
                <w:bCs/>
                <w:color w:val="808080"/>
                <w:sz w:val="18"/>
                <w:szCs w:val="18"/>
                <w:lang w:val="en-US"/>
              </w:rPr>
            </w:pPr>
            <w:r w:rsidRPr="000F1142">
              <w:rPr>
                <w:rFonts w:ascii="Tahoma" w:eastAsia="Tahoma" w:hAnsi="Tahoma" w:cs="Tahoma"/>
                <w:bCs/>
                <w:color w:val="808080"/>
                <w:sz w:val="18"/>
                <w:szCs w:val="18"/>
                <w:lang w:val="en-US"/>
              </w:rPr>
              <w:t>‎</w:t>
            </w:r>
          </w:p>
          <w:p w14:paraId="16B40969" w14:textId="68967DC6" w:rsidR="00962694" w:rsidRPr="000F1142" w:rsidRDefault="006F63F6" w:rsidP="00962694">
            <w:pPr>
              <w:spacing w:line="360" w:lineRule="auto"/>
              <w:jc w:val="both"/>
              <w:rPr>
                <w:rFonts w:ascii="Tahoma" w:eastAsia="Tahoma" w:hAnsi="Tahoma" w:cs="Tahoma"/>
                <w:bCs/>
                <w:color w:val="808080"/>
                <w:sz w:val="18"/>
                <w:szCs w:val="18"/>
                <w:lang w:val="en-US"/>
              </w:rPr>
            </w:pPr>
            <w:bookmarkStart w:id="2" w:name="_GoBack"/>
            <w:r>
              <w:rPr>
                <w:rFonts w:ascii="Tahoma" w:eastAsia="Tahoma" w:hAnsi="Tahoma" w:cs="Tahoma"/>
                <w:bCs/>
                <w:color w:val="808080"/>
                <w:sz w:val="18"/>
                <w:szCs w:val="18"/>
                <w:lang w:val="en-US"/>
              </w:rPr>
              <w:t xml:space="preserve">We have recently </w:t>
            </w:r>
            <w:proofErr w:type="spellStart"/>
            <w:r>
              <w:rPr>
                <w:rFonts w:ascii="Tahoma" w:eastAsia="Tahoma" w:hAnsi="Tahoma" w:cs="Tahoma"/>
                <w:bCs/>
                <w:color w:val="808080"/>
                <w:sz w:val="18"/>
                <w:szCs w:val="18"/>
                <w:lang w:val="en-US"/>
              </w:rPr>
              <w:t>finalised</w:t>
            </w:r>
            <w:proofErr w:type="spellEnd"/>
            <w:r>
              <w:rPr>
                <w:rFonts w:ascii="Tahoma" w:eastAsia="Tahoma" w:hAnsi="Tahoma" w:cs="Tahoma"/>
                <w:bCs/>
                <w:color w:val="808080"/>
                <w:sz w:val="18"/>
                <w:szCs w:val="18"/>
                <w:lang w:val="en-US"/>
              </w:rPr>
              <w:t xml:space="preserve"> the acquisition of another project in the area of ‎renewable energy</w:t>
            </w:r>
            <w:r w:rsidR="00A25D83">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 xml:space="preserve">The Azalia project consists of the construction of a photovoltaic farm with a total capacity of up to 60 </w:t>
            </w:r>
            <w:r w:rsidR="000F1142">
              <w:rPr>
                <w:rFonts w:ascii="Tahoma" w:eastAsia="Tahoma" w:hAnsi="Tahoma" w:cs="Tahoma"/>
                <w:bCs/>
                <w:color w:val="808080"/>
                <w:sz w:val="18"/>
                <w:szCs w:val="18"/>
                <w:lang w:val="en-US"/>
              </w:rPr>
              <w:t>MW in</w:t>
            </w:r>
            <w:r>
              <w:rPr>
                <w:rFonts w:ascii="Tahoma" w:eastAsia="Tahoma" w:hAnsi="Tahoma" w:cs="Tahoma"/>
                <w:bCs/>
                <w:color w:val="808080"/>
                <w:sz w:val="18"/>
                <w:szCs w:val="18"/>
                <w:lang w:val="en-US"/>
              </w:rPr>
              <w:t xml:space="preserve"> the Podkarpackie voivodeship, which means that with this transaction the group has increased its </w:t>
            </w:r>
            <w:r>
              <w:rPr>
                <w:rFonts w:ascii="Tahoma" w:eastAsia="Tahoma" w:hAnsi="Tahoma" w:cs="Tahoma"/>
                <w:bCs/>
                <w:color w:val="808080"/>
                <w:sz w:val="18"/>
                <w:szCs w:val="18"/>
                <w:lang w:val="en-US"/>
              </w:rPr>
              <w:lastRenderedPageBreak/>
              <w:t>capacity in the construction and operation phase</w:t>
            </w:r>
            <w:r>
              <w:rPr>
                <w:rFonts w:ascii="Tahoma" w:eastAsia="Tahoma" w:hAnsi="Tahoma" w:cs="Tahoma"/>
                <w:bCs/>
                <w:color w:val="808080"/>
                <w:sz w:val="18"/>
                <w:szCs w:val="18"/>
                <w:lang w:val="en-US"/>
              </w:rPr>
              <w:t xml:space="preserve"> to approximately 80 MW. The project has a complete set of administrative and legal permits allowing construction work to begin and the farm to be connected to the grid.</w:t>
            </w:r>
            <w:r w:rsidR="000F1142">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This is another step in the implementation of our strategy to build a ‎portfolio of ou</w:t>
            </w:r>
            <w:r>
              <w:rPr>
                <w:rFonts w:ascii="Tahoma" w:eastAsia="Tahoma" w:hAnsi="Tahoma" w:cs="Tahoma"/>
                <w:bCs/>
                <w:color w:val="808080"/>
                <w:sz w:val="18"/>
                <w:szCs w:val="18"/>
                <w:lang w:val="en-US"/>
              </w:rPr>
              <w:t>r own renewable energy sources with a capacity of 500 MW.</w:t>
            </w:r>
            <w:r w:rsidR="000F1142">
              <w:rPr>
                <w:rFonts w:ascii="Tahoma" w:eastAsia="Tahoma" w:hAnsi="Tahoma" w:cs="Tahoma"/>
                <w:bCs/>
                <w:color w:val="808080"/>
                <w:sz w:val="18"/>
                <w:szCs w:val="18"/>
                <w:lang w:val="en-US"/>
              </w:rPr>
              <w:t xml:space="preserve"> </w:t>
            </w:r>
            <w:r>
              <w:rPr>
                <w:rFonts w:ascii="Tahoma" w:eastAsia="Tahoma" w:hAnsi="Tahoma" w:cs="Tahoma"/>
                <w:bCs/>
                <w:color w:val="808080"/>
                <w:sz w:val="18"/>
                <w:szCs w:val="18"/>
                <w:lang w:val="en-US"/>
              </w:rPr>
              <w:t>Independently of acquisitions, we are working on wind and photovoltaic farm ‎projects on our own - at this point we have more than 800 MW of photovoltaic ‎and wind projects at various stages of deve</w:t>
            </w:r>
            <w:r>
              <w:rPr>
                <w:rFonts w:ascii="Tahoma" w:eastAsia="Tahoma" w:hAnsi="Tahoma" w:cs="Tahoma"/>
                <w:bCs/>
                <w:color w:val="808080"/>
                <w:sz w:val="18"/>
                <w:szCs w:val="18"/>
                <w:lang w:val="en-US"/>
              </w:rPr>
              <w:t>lopment.‎</w:t>
            </w:r>
          </w:p>
          <w:p w14:paraId="13D9AFC1" w14:textId="77777777" w:rsidR="004572A8" w:rsidRPr="000F1142" w:rsidRDefault="004572A8" w:rsidP="004572A8">
            <w:pPr>
              <w:spacing w:line="360" w:lineRule="auto"/>
              <w:jc w:val="both"/>
              <w:rPr>
                <w:rFonts w:ascii="Tahoma" w:eastAsia="Tahoma" w:hAnsi="Tahoma" w:cs="Tahoma"/>
                <w:bCs/>
                <w:color w:val="808080"/>
                <w:sz w:val="18"/>
                <w:szCs w:val="18"/>
                <w:highlight w:val="magenta"/>
                <w:lang w:val="en-US"/>
              </w:rPr>
            </w:pPr>
          </w:p>
          <w:p w14:paraId="213831D8" w14:textId="77777777" w:rsidR="00CA12BA" w:rsidRPr="000F1142" w:rsidRDefault="006F63F6" w:rsidP="00CA12BA">
            <w:pPr>
              <w:spacing w:line="360" w:lineRule="auto"/>
              <w:jc w:val="both"/>
              <w:rPr>
                <w:rFonts w:ascii="Tahoma" w:eastAsia="Tahoma" w:hAnsi="Tahoma" w:cs="Tahoma"/>
                <w:b/>
                <w:noProof/>
                <w:color w:val="808080"/>
                <w:sz w:val="18"/>
                <w:szCs w:val="18"/>
                <w:lang w:val="en-US"/>
              </w:rPr>
            </w:pPr>
            <w:r>
              <w:rPr>
                <w:rFonts w:ascii="Tahoma" w:eastAsia="Tahoma" w:hAnsi="Tahoma" w:cs="Tahoma"/>
                <w:b/>
                <w:bCs/>
                <w:noProof/>
                <w:color w:val="808080"/>
                <w:sz w:val="18"/>
                <w:szCs w:val="18"/>
                <w:lang w:val="en-US"/>
              </w:rPr>
              <w:t>Sustainable growth in Budimex</w:t>
            </w:r>
          </w:p>
          <w:p w14:paraId="03DCDDD3" w14:textId="77777777" w:rsidR="00CA12BA" w:rsidRPr="000F1142" w:rsidRDefault="00CA12BA" w:rsidP="00CA12BA">
            <w:pPr>
              <w:spacing w:line="360" w:lineRule="auto"/>
              <w:jc w:val="both"/>
              <w:rPr>
                <w:rFonts w:ascii="Tahoma" w:eastAsia="Tahoma" w:hAnsi="Tahoma" w:cs="Tahoma"/>
                <w:b/>
                <w:noProof/>
                <w:color w:val="808080"/>
                <w:sz w:val="18"/>
                <w:szCs w:val="18"/>
                <w:lang w:val="en-US"/>
              </w:rPr>
            </w:pPr>
          </w:p>
          <w:p w14:paraId="4B369D87" w14:textId="77777777" w:rsidR="00CA12BA" w:rsidRPr="000F1142" w:rsidRDefault="006F63F6" w:rsidP="00CA12BA">
            <w:pPr>
              <w:spacing w:line="360" w:lineRule="auto"/>
              <w:jc w:val="both"/>
              <w:rPr>
                <w:rFonts w:ascii="Tahoma" w:eastAsia="Tahoma" w:hAnsi="Tahoma" w:cs="Tahoma"/>
                <w:bCs/>
                <w:noProof/>
                <w:color w:val="808080"/>
                <w:sz w:val="18"/>
                <w:szCs w:val="18"/>
                <w:lang w:val="en-US"/>
              </w:rPr>
            </w:pPr>
            <w:r>
              <w:rPr>
                <w:rFonts w:ascii="Tahoma" w:eastAsia="Tahoma" w:hAnsi="Tahoma" w:cs="Tahoma"/>
                <w:bCs/>
                <w:noProof/>
                <w:color w:val="808080"/>
                <w:sz w:val="18"/>
                <w:szCs w:val="18"/>
                <w:lang w:val="en-US"/>
              </w:rPr>
              <w:t>Environmental and social responsibility are our priorities and a strong ‎commitment that is reflected in the actions taken by Budimex.  Caring for the ‎planet and the comfort of people living in the vicinity of our</w:t>
            </w:r>
            <w:r>
              <w:rPr>
                <w:rFonts w:ascii="Tahoma" w:eastAsia="Tahoma" w:hAnsi="Tahoma" w:cs="Tahoma"/>
                <w:bCs/>
                <w:noProof/>
                <w:color w:val="808080"/>
                <w:sz w:val="18"/>
                <w:szCs w:val="18"/>
                <w:lang w:val="en-US"/>
              </w:rPr>
              <w:t xml:space="preserve"> projects, we ‎are implementing, among others, the Green stop capaign related to the ‎construction of the Tramway to Wilanów.  In March this year, we collected ‎applications for the third stage, in which, together  with local communities and housing cooper</w:t>
            </w:r>
            <w:r>
              <w:rPr>
                <w:rFonts w:ascii="Tahoma" w:eastAsia="Tahoma" w:hAnsi="Tahoma" w:cs="Tahoma"/>
                <w:bCs/>
                <w:noProof/>
                <w:color w:val="808080"/>
                <w:sz w:val="18"/>
                <w:szCs w:val="18"/>
                <w:lang w:val="en-US"/>
              </w:rPr>
              <w:t xml:space="preserve">atives and with the support of ‎Budimex volunteers, we will plant a total of 410 trees and 50 shrubs.  </w:t>
            </w:r>
          </w:p>
          <w:p w14:paraId="09460E86" w14:textId="77777777" w:rsidR="00A75C3B" w:rsidRPr="000F1142" w:rsidRDefault="00A75C3B" w:rsidP="00CA12BA">
            <w:pPr>
              <w:spacing w:line="360" w:lineRule="auto"/>
              <w:jc w:val="both"/>
              <w:rPr>
                <w:rFonts w:ascii="Tahoma" w:eastAsia="Tahoma" w:hAnsi="Tahoma" w:cs="Tahoma"/>
                <w:bCs/>
                <w:noProof/>
                <w:color w:val="808080"/>
                <w:sz w:val="18"/>
                <w:szCs w:val="18"/>
                <w:lang w:val="en-US"/>
              </w:rPr>
            </w:pPr>
          </w:p>
          <w:p w14:paraId="5FA7F349" w14:textId="00A48FC9" w:rsidR="00A75C3B" w:rsidRPr="000F1142" w:rsidRDefault="006F63F6" w:rsidP="00CA12BA">
            <w:pPr>
              <w:spacing w:line="360" w:lineRule="auto"/>
              <w:jc w:val="both"/>
              <w:rPr>
                <w:rFonts w:ascii="Tahoma" w:eastAsia="Tahoma" w:hAnsi="Tahoma" w:cs="Tahoma"/>
                <w:bCs/>
                <w:noProof/>
                <w:color w:val="808080"/>
                <w:sz w:val="18"/>
                <w:szCs w:val="18"/>
                <w:lang w:val="en-US"/>
              </w:rPr>
            </w:pPr>
            <w:r>
              <w:rPr>
                <w:rFonts w:ascii="Tahoma" w:eastAsia="Tahoma" w:hAnsi="Tahoma" w:cs="Tahoma"/>
                <w:bCs/>
                <w:noProof/>
                <w:color w:val="808080"/>
                <w:sz w:val="18"/>
                <w:szCs w:val="18"/>
                <w:lang w:val="en-US"/>
              </w:rPr>
              <w:t>One of the goals that we have set ourselves in the social area of ‎Budimex's ESG Strategy 2023-2026 is to share our knowledge and experience ‎with the younger generations.  We want to create a positive image of ‎construction among young people and encourag</w:t>
            </w:r>
            <w:r>
              <w:rPr>
                <w:rFonts w:ascii="Tahoma" w:eastAsia="Tahoma" w:hAnsi="Tahoma" w:cs="Tahoma"/>
                <w:bCs/>
                <w:noProof/>
                <w:color w:val="808080"/>
                <w:sz w:val="18"/>
                <w:szCs w:val="18"/>
                <w:lang w:val="en-US"/>
              </w:rPr>
              <w:t>e them to work in the ‎industry.  This year's edition of Budimex's student internship programme - 'Find ‎your key to success' - was launched in March.  We have prepared nearly 250 ‎positions for people studying engineering, as well as HR, finance or IT.  W</w:t>
            </w:r>
            <w:r>
              <w:rPr>
                <w:rFonts w:ascii="Tahoma" w:eastAsia="Tahoma" w:hAnsi="Tahoma" w:cs="Tahoma"/>
                <w:bCs/>
                <w:noProof/>
                <w:color w:val="808080"/>
                <w:sz w:val="18"/>
                <w:szCs w:val="18"/>
                <w:lang w:val="en-US"/>
              </w:rPr>
              <w:t xml:space="preserve">e are ‎immensely proud of this initiative, especially that after last year's edition of the project, as many ‎as 84 per cent of participants declared their intention to continue cooperation ‎with Budimex. ‎ </w:t>
            </w:r>
          </w:p>
          <w:p w14:paraId="492D11BC" w14:textId="77777777" w:rsidR="00CC6E50" w:rsidRPr="000F1142" w:rsidRDefault="00CC6E50" w:rsidP="00CA12BA">
            <w:pPr>
              <w:spacing w:line="360" w:lineRule="auto"/>
              <w:jc w:val="both"/>
              <w:rPr>
                <w:rFonts w:ascii="Tahoma" w:eastAsia="Tahoma" w:hAnsi="Tahoma" w:cs="Tahoma"/>
                <w:bCs/>
                <w:noProof/>
                <w:color w:val="808080"/>
                <w:sz w:val="18"/>
                <w:szCs w:val="18"/>
                <w:lang w:val="en-US"/>
              </w:rPr>
            </w:pPr>
          </w:p>
          <w:p w14:paraId="610E2772" w14:textId="442CBAA1" w:rsidR="00CC6E50" w:rsidRPr="000F1142" w:rsidRDefault="006F63F6" w:rsidP="00CA12BA">
            <w:pPr>
              <w:spacing w:line="360" w:lineRule="auto"/>
              <w:jc w:val="both"/>
              <w:rPr>
                <w:rFonts w:ascii="Tahoma" w:eastAsia="Tahoma" w:hAnsi="Tahoma" w:cs="Tahoma"/>
                <w:bCs/>
                <w:noProof/>
                <w:color w:val="808080"/>
                <w:sz w:val="18"/>
                <w:szCs w:val="18"/>
                <w:lang w:val="en-US"/>
              </w:rPr>
            </w:pPr>
            <w:r>
              <w:rPr>
                <w:rFonts w:ascii="Tahoma" w:eastAsia="Tahoma" w:hAnsi="Tahoma" w:cs="Tahoma"/>
                <w:bCs/>
                <w:noProof/>
                <w:color w:val="808080"/>
                <w:sz w:val="18"/>
                <w:szCs w:val="18"/>
                <w:lang w:val="en-US"/>
              </w:rPr>
              <w:t>We also encourage young people to choose constr</w:t>
            </w:r>
            <w:r>
              <w:rPr>
                <w:rFonts w:ascii="Tahoma" w:eastAsia="Tahoma" w:hAnsi="Tahoma" w:cs="Tahoma"/>
                <w:bCs/>
                <w:noProof/>
                <w:color w:val="808080"/>
                <w:sz w:val="18"/>
                <w:szCs w:val="18"/>
                <w:lang w:val="en-US"/>
              </w:rPr>
              <w:t>uction as a career path by ‎joining forces with universities.  In January this year, we signed an agreement ‎with the Cracow University of Economics [UEK].  It is the 41st university or technical ‎university and the third in Kraków with which Budimex has s</w:t>
            </w:r>
            <w:r>
              <w:rPr>
                <w:rFonts w:ascii="Tahoma" w:eastAsia="Tahoma" w:hAnsi="Tahoma" w:cs="Tahoma"/>
                <w:bCs/>
                <w:noProof/>
                <w:color w:val="808080"/>
                <w:sz w:val="18"/>
                <w:szCs w:val="18"/>
                <w:lang w:val="en-US"/>
              </w:rPr>
              <w:t xml:space="preserve">tarted long-term ‎cooperation over the past year. Together with UEK we will be active in the area of training, as well as conducting ‎research on the development of innovative solutions for the construction ‎industry.  </w:t>
            </w:r>
          </w:p>
          <w:p w14:paraId="770C2B8F" w14:textId="77777777" w:rsidR="00CC6E50" w:rsidRPr="000F1142" w:rsidRDefault="00CC6E50" w:rsidP="00CA12BA">
            <w:pPr>
              <w:spacing w:line="360" w:lineRule="auto"/>
              <w:jc w:val="both"/>
              <w:rPr>
                <w:rFonts w:ascii="Tahoma" w:eastAsia="Tahoma" w:hAnsi="Tahoma" w:cs="Tahoma"/>
                <w:bCs/>
                <w:noProof/>
                <w:color w:val="808080"/>
                <w:sz w:val="18"/>
                <w:szCs w:val="18"/>
                <w:lang w:val="en-US"/>
              </w:rPr>
            </w:pPr>
          </w:p>
          <w:p w14:paraId="28F0036A" w14:textId="03009D91" w:rsidR="00CC6E50" w:rsidRPr="000F1142" w:rsidRDefault="006F63F6" w:rsidP="00CA12BA">
            <w:pPr>
              <w:spacing w:line="360" w:lineRule="auto"/>
              <w:jc w:val="both"/>
              <w:rPr>
                <w:rFonts w:ascii="Tahoma" w:eastAsia="Tahoma" w:hAnsi="Tahoma" w:cs="Tahoma"/>
                <w:bCs/>
                <w:noProof/>
                <w:color w:val="808080"/>
                <w:sz w:val="18"/>
                <w:szCs w:val="18"/>
                <w:lang w:val="en-US"/>
              </w:rPr>
            </w:pPr>
            <w:r>
              <w:rPr>
                <w:rFonts w:ascii="Tahoma" w:eastAsia="Tahoma" w:hAnsi="Tahoma" w:cs="Tahoma"/>
                <w:bCs/>
                <w:noProof/>
                <w:color w:val="808080"/>
                <w:sz w:val="18"/>
                <w:szCs w:val="18"/>
                <w:lang w:val="en-US"/>
              </w:rPr>
              <w:t>‎In addition to education, an impor</w:t>
            </w:r>
            <w:r>
              <w:rPr>
                <w:rFonts w:ascii="Tahoma" w:eastAsia="Tahoma" w:hAnsi="Tahoma" w:cs="Tahoma"/>
                <w:bCs/>
                <w:noProof/>
                <w:color w:val="808080"/>
                <w:sz w:val="18"/>
                <w:szCs w:val="18"/>
                <w:lang w:val="en-US"/>
              </w:rPr>
              <w:t>tant area of Budimex's commitment is ‎activities for the benefit of the regions and communities where the company is present. In the first quarter of 2024, we carried out more than 15 ‎projects to support the neighbours of our construction sites to the amo</w:t>
            </w:r>
            <w:r>
              <w:rPr>
                <w:rFonts w:ascii="Tahoma" w:eastAsia="Tahoma" w:hAnsi="Tahoma" w:cs="Tahoma"/>
                <w:bCs/>
                <w:noProof/>
                <w:color w:val="808080"/>
                <w:sz w:val="18"/>
                <w:szCs w:val="18"/>
                <w:lang w:val="en-US"/>
              </w:rPr>
              <w:t xml:space="preserve">unt of ‎more than PLN 0.6 million.  </w:t>
            </w:r>
          </w:p>
          <w:p w14:paraId="1ABFB3BB" w14:textId="77777777" w:rsidR="00CC6E50" w:rsidRPr="000F1142" w:rsidRDefault="00CC6E50" w:rsidP="00CC6E50">
            <w:pPr>
              <w:spacing w:line="360" w:lineRule="auto"/>
              <w:jc w:val="both"/>
              <w:rPr>
                <w:rFonts w:ascii="Tahoma" w:eastAsia="Tahoma" w:hAnsi="Tahoma" w:cs="Tahoma"/>
                <w:bCs/>
                <w:color w:val="808080"/>
                <w:sz w:val="18"/>
                <w:szCs w:val="18"/>
                <w:lang w:val="en-US"/>
              </w:rPr>
            </w:pPr>
          </w:p>
          <w:p w14:paraId="475EC594" w14:textId="77777777" w:rsidR="00CC6E50" w:rsidRPr="000F1142" w:rsidRDefault="006F63F6" w:rsidP="00CC6E50">
            <w:pPr>
              <w:spacing w:line="360" w:lineRule="auto"/>
              <w:jc w:val="both"/>
              <w:rPr>
                <w:rFonts w:ascii="Tahoma" w:eastAsia="Tahoma" w:hAnsi="Tahoma" w:cs="Tahoma"/>
                <w:b/>
                <w:noProof/>
                <w:color w:val="808080"/>
                <w:sz w:val="18"/>
                <w:szCs w:val="18"/>
                <w:lang w:val="en-US"/>
              </w:rPr>
            </w:pPr>
            <w:r>
              <w:rPr>
                <w:rFonts w:ascii="Tahoma" w:eastAsia="Tahoma" w:hAnsi="Tahoma" w:cs="Tahoma"/>
                <w:b/>
                <w:bCs/>
                <w:noProof/>
                <w:color w:val="808080"/>
                <w:sz w:val="18"/>
                <w:szCs w:val="18"/>
                <w:lang w:val="en-US"/>
              </w:rPr>
              <w:t xml:space="preserve">‎Prizes and awards </w:t>
            </w:r>
          </w:p>
          <w:p w14:paraId="19CEA4E5" w14:textId="77777777" w:rsidR="00CC6E50" w:rsidRPr="000F1142" w:rsidRDefault="00CC6E50" w:rsidP="00CC6E50">
            <w:pPr>
              <w:spacing w:line="360" w:lineRule="auto"/>
              <w:jc w:val="both"/>
              <w:rPr>
                <w:rFonts w:ascii="Tahoma" w:eastAsia="Tahoma" w:hAnsi="Tahoma" w:cs="Tahoma"/>
                <w:b/>
                <w:noProof/>
                <w:color w:val="808080"/>
                <w:sz w:val="18"/>
                <w:szCs w:val="18"/>
                <w:lang w:val="en-US"/>
              </w:rPr>
            </w:pPr>
          </w:p>
          <w:p w14:paraId="2798AEC6" w14:textId="77777777" w:rsidR="00556E89" w:rsidRDefault="006F63F6" w:rsidP="00556E89">
            <w:pPr>
              <w:spacing w:line="360" w:lineRule="auto"/>
              <w:jc w:val="both"/>
              <w:rPr>
                <w:rFonts w:ascii="Tahoma" w:eastAsia="Tahoma" w:hAnsi="Tahoma" w:cs="Tahoma"/>
                <w:bCs/>
                <w:noProof/>
                <w:color w:val="808080"/>
                <w:sz w:val="18"/>
                <w:szCs w:val="18"/>
              </w:rPr>
            </w:pPr>
            <w:r>
              <w:rPr>
                <w:rFonts w:ascii="Tahoma" w:eastAsia="Tahoma" w:hAnsi="Tahoma" w:cs="Tahoma"/>
                <w:bCs/>
                <w:noProof/>
                <w:color w:val="808080"/>
                <w:sz w:val="18"/>
                <w:szCs w:val="18"/>
                <w:lang w:val="en-US"/>
              </w:rPr>
              <w:t xml:space="preserve">Budimex was included in the index of the biggest listed companies, WIG-20.  We ‎also received the ‘Bulls and bears’ award of the stock exchange newspaper ‎Parkiet and the Forbes Diamond for our financial results. ‎ </w:t>
            </w:r>
          </w:p>
          <w:bookmarkEnd w:id="2"/>
          <w:p w14:paraId="2775A3A5" w14:textId="77777777" w:rsidR="00556E89" w:rsidRDefault="00556E89" w:rsidP="00556E89">
            <w:pPr>
              <w:spacing w:line="360" w:lineRule="auto"/>
              <w:jc w:val="both"/>
              <w:rPr>
                <w:rFonts w:ascii="Tahoma" w:eastAsia="Tahoma" w:hAnsi="Tahoma" w:cs="Tahoma"/>
                <w:bCs/>
                <w:noProof/>
                <w:color w:val="808080"/>
                <w:sz w:val="18"/>
                <w:szCs w:val="18"/>
              </w:rPr>
            </w:pPr>
          </w:p>
          <w:p w14:paraId="6713AFE1" w14:textId="77777777" w:rsidR="00CC6E50" w:rsidRDefault="00CC6E50" w:rsidP="00CC6E50">
            <w:pPr>
              <w:spacing w:line="360" w:lineRule="auto"/>
              <w:jc w:val="both"/>
              <w:rPr>
                <w:rFonts w:ascii="Tahoma" w:eastAsia="Tahoma" w:hAnsi="Tahoma" w:cs="Tahoma"/>
                <w:bCs/>
                <w:noProof/>
                <w:color w:val="808080"/>
                <w:sz w:val="18"/>
                <w:szCs w:val="18"/>
              </w:rPr>
            </w:pPr>
          </w:p>
          <w:p w14:paraId="794F3AC1" w14:textId="77777777" w:rsidR="00556E89" w:rsidRDefault="00556E89" w:rsidP="00CC6E50">
            <w:pPr>
              <w:spacing w:line="360" w:lineRule="auto"/>
              <w:jc w:val="both"/>
              <w:rPr>
                <w:rFonts w:ascii="Tahoma" w:eastAsia="Tahoma" w:hAnsi="Tahoma" w:cs="Tahoma"/>
                <w:bCs/>
                <w:noProof/>
                <w:color w:val="808080"/>
                <w:sz w:val="18"/>
                <w:szCs w:val="18"/>
              </w:rPr>
            </w:pPr>
          </w:p>
          <w:p w14:paraId="6F8DED28" w14:textId="77777777" w:rsidR="00CC6E50" w:rsidRDefault="00CC6E50" w:rsidP="00CA12BA">
            <w:pPr>
              <w:spacing w:line="360" w:lineRule="auto"/>
              <w:jc w:val="both"/>
              <w:rPr>
                <w:rFonts w:ascii="Tahoma" w:eastAsia="Tahoma" w:hAnsi="Tahoma" w:cs="Tahoma"/>
                <w:bCs/>
                <w:noProof/>
                <w:color w:val="808080"/>
                <w:sz w:val="18"/>
                <w:szCs w:val="18"/>
              </w:rPr>
            </w:pPr>
          </w:p>
          <w:p w14:paraId="32CFF8DD" w14:textId="77777777" w:rsidR="00A75C3B" w:rsidRDefault="00A75C3B" w:rsidP="00CA12BA">
            <w:pPr>
              <w:spacing w:line="360" w:lineRule="auto"/>
              <w:jc w:val="both"/>
              <w:rPr>
                <w:rFonts w:ascii="Tahoma" w:eastAsia="Tahoma" w:hAnsi="Tahoma" w:cs="Tahoma"/>
                <w:bCs/>
                <w:noProof/>
                <w:color w:val="808080"/>
                <w:sz w:val="18"/>
                <w:szCs w:val="18"/>
              </w:rPr>
            </w:pPr>
          </w:p>
          <w:p w14:paraId="6F8B0E53" w14:textId="77777777" w:rsidR="00CA12BA" w:rsidRPr="00CA12BA" w:rsidRDefault="00CA12BA" w:rsidP="00CA12BA">
            <w:pPr>
              <w:spacing w:line="360" w:lineRule="auto"/>
              <w:jc w:val="both"/>
              <w:rPr>
                <w:rFonts w:ascii="Tahoma" w:eastAsia="Tahoma" w:hAnsi="Tahoma" w:cs="Tahoma"/>
                <w:bCs/>
                <w:noProof/>
                <w:color w:val="808080"/>
                <w:sz w:val="18"/>
                <w:szCs w:val="18"/>
              </w:rPr>
            </w:pPr>
          </w:p>
          <w:p w14:paraId="44B17067" w14:textId="77777777" w:rsidR="004572A8" w:rsidRPr="003D0FAF" w:rsidRDefault="004572A8" w:rsidP="004572A8">
            <w:pPr>
              <w:spacing w:line="360" w:lineRule="auto"/>
              <w:jc w:val="both"/>
              <w:rPr>
                <w:rFonts w:ascii="Tahoma" w:eastAsia="Tahoma" w:hAnsi="Tahoma" w:cs="Tahoma"/>
                <w:bCs/>
                <w:color w:val="808080"/>
                <w:sz w:val="18"/>
                <w:szCs w:val="18"/>
                <w:highlight w:val="magenta"/>
              </w:rPr>
            </w:pPr>
          </w:p>
          <w:p w14:paraId="6631E8C5" w14:textId="77777777" w:rsidR="00FC43CA" w:rsidRPr="003D0FAF" w:rsidRDefault="00FC43CA" w:rsidP="00FC43CA">
            <w:pPr>
              <w:spacing w:line="360" w:lineRule="auto"/>
              <w:jc w:val="both"/>
              <w:rPr>
                <w:rFonts w:ascii="Tahoma" w:eastAsia="Tahoma" w:hAnsi="Tahoma" w:cs="Tahoma"/>
                <w:bCs/>
                <w:color w:val="808080"/>
                <w:sz w:val="18"/>
                <w:szCs w:val="18"/>
                <w:highlight w:val="magenta"/>
              </w:rPr>
            </w:pPr>
          </w:p>
          <w:p w14:paraId="23BBC71A" w14:textId="77777777" w:rsidR="00FC43CA" w:rsidRPr="003D0FAF" w:rsidRDefault="00FC43CA" w:rsidP="00FC43CA">
            <w:pPr>
              <w:spacing w:line="360" w:lineRule="auto"/>
              <w:jc w:val="both"/>
              <w:rPr>
                <w:rFonts w:ascii="Tahoma" w:eastAsia="Tahoma" w:hAnsi="Tahoma" w:cs="Tahoma"/>
                <w:bCs/>
                <w:color w:val="808080"/>
                <w:sz w:val="18"/>
                <w:szCs w:val="18"/>
                <w:highlight w:val="magenta"/>
              </w:rPr>
            </w:pPr>
          </w:p>
          <w:p w14:paraId="75D1FBBF" w14:textId="77777777" w:rsidR="00FC43CA" w:rsidRPr="003D0FAF" w:rsidRDefault="00FC43CA" w:rsidP="00FC43CA">
            <w:pPr>
              <w:spacing w:line="360" w:lineRule="auto"/>
              <w:jc w:val="both"/>
              <w:rPr>
                <w:rFonts w:ascii="Tahoma" w:eastAsia="Tahoma" w:hAnsi="Tahoma" w:cs="Tahoma"/>
                <w:bCs/>
                <w:color w:val="808080"/>
                <w:sz w:val="18"/>
                <w:szCs w:val="18"/>
                <w:highlight w:val="magenta"/>
              </w:rPr>
            </w:pPr>
          </w:p>
          <w:p w14:paraId="13B3BD49" w14:textId="77777777" w:rsidR="00FC43CA" w:rsidRPr="003D0FAF" w:rsidRDefault="006F63F6" w:rsidP="00FC43CA">
            <w:pPr>
              <w:spacing w:line="360" w:lineRule="auto"/>
              <w:jc w:val="both"/>
              <w:rPr>
                <w:rFonts w:ascii="Tahoma" w:eastAsia="Tahoma" w:hAnsi="Tahoma" w:cs="Tahoma"/>
                <w:bCs/>
                <w:color w:val="808080"/>
                <w:sz w:val="18"/>
                <w:szCs w:val="18"/>
                <w:highlight w:val="magenta"/>
              </w:rPr>
            </w:pPr>
            <w:r w:rsidRPr="003D0FAF">
              <w:rPr>
                <w:rFonts w:ascii="Tahoma" w:eastAsia="Tahoma" w:hAnsi="Tahoma" w:cs="Tahoma"/>
                <w:bCs/>
                <w:color w:val="808080"/>
                <w:sz w:val="18"/>
                <w:szCs w:val="18"/>
                <w:highlight w:val="magenta"/>
              </w:rPr>
              <w:t>‎</w:t>
            </w:r>
          </w:p>
          <w:p w14:paraId="71714666" w14:textId="77777777" w:rsidR="00DE4D7D" w:rsidRPr="003D0FAF" w:rsidRDefault="00DE4D7D" w:rsidP="00FC43CA">
            <w:pPr>
              <w:spacing w:line="360" w:lineRule="auto"/>
              <w:jc w:val="both"/>
              <w:rPr>
                <w:rFonts w:ascii="Tahoma" w:eastAsia="Tahoma" w:hAnsi="Tahoma" w:cs="Tahoma"/>
                <w:bCs/>
                <w:color w:val="808080"/>
                <w:sz w:val="18"/>
                <w:szCs w:val="18"/>
              </w:rPr>
            </w:pPr>
          </w:p>
        </w:tc>
        <w:tc>
          <w:tcPr>
            <w:tcW w:w="3166" w:type="dxa"/>
          </w:tcPr>
          <w:p w14:paraId="21A6AFB1" w14:textId="77777777" w:rsidR="00D824D3" w:rsidRPr="000F1142" w:rsidRDefault="00D824D3">
            <w:pPr>
              <w:spacing w:line="360" w:lineRule="auto"/>
              <w:jc w:val="center"/>
              <w:rPr>
                <w:rFonts w:ascii="Tahoma" w:eastAsia="Tahoma" w:hAnsi="Tahoma" w:cs="Tahoma"/>
                <w:bCs/>
                <w:color w:val="FFC000"/>
                <w:lang w:val="en-US"/>
              </w:rPr>
            </w:pPr>
          </w:p>
          <w:p w14:paraId="12AEDDDD" w14:textId="77777777" w:rsidR="00D824D3" w:rsidRPr="000F1142" w:rsidRDefault="00D824D3">
            <w:pPr>
              <w:spacing w:line="360" w:lineRule="auto"/>
              <w:jc w:val="center"/>
              <w:rPr>
                <w:rFonts w:ascii="Tahoma" w:eastAsia="Tahoma" w:hAnsi="Tahoma" w:cs="Tahoma"/>
                <w:bCs/>
                <w:color w:val="FFC000"/>
                <w:lang w:val="en-US"/>
              </w:rPr>
            </w:pPr>
          </w:p>
          <w:p w14:paraId="5982227A" w14:textId="77777777" w:rsidR="00D824D3" w:rsidRPr="000F1142" w:rsidRDefault="00D824D3">
            <w:pPr>
              <w:spacing w:line="360" w:lineRule="auto"/>
              <w:jc w:val="center"/>
              <w:rPr>
                <w:rFonts w:ascii="Tahoma" w:eastAsia="Tahoma" w:hAnsi="Tahoma" w:cs="Tahoma"/>
                <w:bCs/>
                <w:color w:val="FFC000"/>
                <w:lang w:val="en-US"/>
              </w:rPr>
            </w:pPr>
          </w:p>
          <w:p w14:paraId="70718F30" w14:textId="77777777" w:rsidR="00D824D3" w:rsidRPr="000F1142" w:rsidRDefault="00D824D3">
            <w:pPr>
              <w:spacing w:line="360" w:lineRule="auto"/>
              <w:jc w:val="center"/>
              <w:rPr>
                <w:rFonts w:ascii="Tahoma" w:eastAsia="Tahoma" w:hAnsi="Tahoma" w:cs="Tahoma"/>
                <w:bCs/>
                <w:color w:val="FFC000"/>
                <w:lang w:val="en-US"/>
              </w:rPr>
            </w:pPr>
          </w:p>
          <w:p w14:paraId="4F8F21B8" w14:textId="77777777" w:rsidR="00D824D3" w:rsidRPr="000F1142" w:rsidRDefault="00D824D3">
            <w:pPr>
              <w:spacing w:line="360" w:lineRule="auto"/>
              <w:jc w:val="center"/>
              <w:rPr>
                <w:rFonts w:ascii="Tahoma" w:eastAsia="Tahoma" w:hAnsi="Tahoma" w:cs="Tahoma"/>
                <w:bCs/>
                <w:color w:val="FFC000"/>
                <w:lang w:val="en-US"/>
              </w:rPr>
            </w:pPr>
          </w:p>
          <w:p w14:paraId="410D5E4B" w14:textId="77777777" w:rsidR="00D824D3" w:rsidRPr="000F1142" w:rsidRDefault="00D824D3">
            <w:pPr>
              <w:spacing w:line="360" w:lineRule="auto"/>
              <w:jc w:val="center"/>
              <w:rPr>
                <w:rFonts w:ascii="Tahoma" w:eastAsia="Tahoma" w:hAnsi="Tahoma" w:cs="Tahoma"/>
                <w:bCs/>
                <w:color w:val="FFC000"/>
                <w:lang w:val="en-US"/>
              </w:rPr>
            </w:pPr>
          </w:p>
          <w:p w14:paraId="38E743E8" w14:textId="77777777" w:rsidR="00D824D3" w:rsidRPr="000F1142" w:rsidRDefault="00D824D3">
            <w:pPr>
              <w:spacing w:after="120" w:line="360" w:lineRule="auto"/>
              <w:rPr>
                <w:rFonts w:ascii="Verdana" w:eastAsia="Verdana" w:hAnsi="Verdana" w:cs="Verdana"/>
                <w:bCs/>
                <w:color w:val="FFC000"/>
                <w:sz w:val="20"/>
                <w:szCs w:val="20"/>
                <w:lang w:val="en-US"/>
              </w:rPr>
            </w:pPr>
          </w:p>
          <w:p w14:paraId="1B24DAE6" w14:textId="77777777" w:rsidR="00D824D3" w:rsidRPr="000F1142" w:rsidRDefault="006F63F6">
            <w:pPr>
              <w:spacing w:after="120" w:line="360" w:lineRule="auto"/>
              <w:rPr>
                <w:rFonts w:ascii="Verdana" w:eastAsia="Verdana" w:hAnsi="Verdana" w:cs="Verdana"/>
                <w:bCs/>
                <w:color w:val="FFC000"/>
                <w:sz w:val="20"/>
                <w:szCs w:val="20"/>
                <w:lang w:val="en-US"/>
              </w:rPr>
            </w:pPr>
            <w:r>
              <w:rPr>
                <w:rFonts w:ascii="Verdana" w:eastAsia="Verdana" w:hAnsi="Verdana" w:cs="Verdana"/>
                <w:bCs/>
                <w:color w:val="FFC000"/>
                <w:sz w:val="20"/>
                <w:szCs w:val="20"/>
                <w:lang w:val="en-US"/>
              </w:rPr>
              <w:t xml:space="preserve">Contact details: </w:t>
            </w:r>
          </w:p>
          <w:p w14:paraId="6FEE6532" w14:textId="77777777" w:rsidR="00D824D3" w:rsidRPr="000F1142" w:rsidRDefault="006F63F6">
            <w:pPr>
              <w:spacing w:after="120" w:line="360" w:lineRule="auto"/>
              <w:rPr>
                <w:rFonts w:ascii="Verdana" w:eastAsia="Verdana" w:hAnsi="Verdana" w:cs="Verdana"/>
                <w:bCs/>
                <w:color w:val="808080"/>
                <w:sz w:val="18"/>
                <w:szCs w:val="18"/>
                <w:lang w:val="en-US"/>
              </w:rPr>
            </w:pPr>
            <w:r>
              <w:rPr>
                <w:rFonts w:ascii="Verdana" w:eastAsia="Verdana" w:hAnsi="Verdana" w:cs="Verdana"/>
                <w:bCs/>
                <w:color w:val="808080"/>
                <w:sz w:val="18"/>
                <w:szCs w:val="18"/>
                <w:lang w:val="en-US"/>
              </w:rPr>
              <w:t>Michał Wrzosek, spokesperson</w:t>
            </w:r>
          </w:p>
          <w:p w14:paraId="27AD1F7C" w14:textId="77777777" w:rsidR="00D824D3" w:rsidRPr="000F1142" w:rsidRDefault="006F63F6">
            <w:pPr>
              <w:spacing w:line="360" w:lineRule="auto"/>
              <w:rPr>
                <w:rFonts w:ascii="Verdana" w:eastAsia="Verdana" w:hAnsi="Verdana" w:cs="Verdana"/>
                <w:bCs/>
                <w:color w:val="808080"/>
                <w:sz w:val="18"/>
                <w:szCs w:val="18"/>
                <w:lang w:val="en-US"/>
              </w:rPr>
            </w:pPr>
            <w:r>
              <w:rPr>
                <w:rFonts w:ascii="Verdana" w:eastAsia="Verdana" w:hAnsi="Verdana" w:cs="Verdana"/>
                <w:bCs/>
                <w:color w:val="808080"/>
                <w:sz w:val="18"/>
                <w:szCs w:val="18"/>
                <w:lang w:val="en-US"/>
              </w:rPr>
              <w:t xml:space="preserve">tel. (22) 62 36 164, 512 478 522, </w:t>
            </w:r>
          </w:p>
          <w:p w14:paraId="379D9650" w14:textId="77777777" w:rsidR="00D824D3" w:rsidRPr="000F1142" w:rsidRDefault="006F63F6">
            <w:pPr>
              <w:spacing w:line="360" w:lineRule="auto"/>
              <w:rPr>
                <w:rFonts w:ascii="Verdana" w:eastAsia="Verdana" w:hAnsi="Verdana" w:cs="Verdana"/>
                <w:bCs/>
                <w:color w:val="808080"/>
                <w:sz w:val="18"/>
                <w:szCs w:val="18"/>
                <w:lang w:val="en-US"/>
              </w:rPr>
            </w:pPr>
            <w:hyperlink r:id="rId13">
              <w:r>
                <w:rPr>
                  <w:rFonts w:ascii="Verdana" w:eastAsia="Verdana" w:hAnsi="Verdana" w:cs="Verdana"/>
                  <w:color w:val="808080"/>
                  <w:sz w:val="18"/>
                  <w:szCs w:val="18"/>
                  <w:u w:val="single"/>
                  <w:lang w:val="en-US"/>
                </w:rPr>
                <w:t>michal.wrzosek@budimex.pl</w:t>
              </w:r>
            </w:hyperlink>
          </w:p>
          <w:p w14:paraId="339C52BB" w14:textId="77777777" w:rsidR="00D824D3" w:rsidRPr="000F1142" w:rsidRDefault="006F63F6">
            <w:pPr>
              <w:spacing w:before="280" w:after="280" w:line="360" w:lineRule="auto"/>
              <w:jc w:val="both"/>
              <w:rPr>
                <w:rFonts w:ascii="Tahoma" w:eastAsia="Tahoma" w:hAnsi="Tahoma" w:cs="Tahoma"/>
                <w:bCs/>
                <w:color w:val="7F7F7F"/>
                <w:sz w:val="18"/>
                <w:szCs w:val="18"/>
                <w:lang w:val="en-US"/>
              </w:rPr>
            </w:pPr>
            <w:hyperlink r:id="rId14">
              <w:r>
                <w:rPr>
                  <w:rFonts w:ascii="Tahoma" w:eastAsia="Tahoma" w:hAnsi="Tahoma" w:cs="Tahoma"/>
                  <w:color w:val="7F7F7F"/>
                  <w:sz w:val="18"/>
                  <w:szCs w:val="18"/>
                  <w:u w:val="single"/>
                  <w:lang w:val="en-US"/>
                </w:rPr>
                <w:t>www.media.budimex.pl</w:t>
              </w:r>
            </w:hyperlink>
          </w:p>
          <w:p w14:paraId="0F1E9758" w14:textId="77777777" w:rsidR="00D824D3" w:rsidRPr="000F1142" w:rsidRDefault="00D824D3">
            <w:pPr>
              <w:spacing w:line="360" w:lineRule="auto"/>
              <w:jc w:val="center"/>
              <w:rPr>
                <w:rFonts w:ascii="Tahoma" w:eastAsia="Tahoma" w:hAnsi="Tahoma" w:cs="Tahoma"/>
                <w:bCs/>
                <w:color w:val="FFC000"/>
                <w:lang w:val="en-US"/>
              </w:rPr>
            </w:pPr>
          </w:p>
          <w:p w14:paraId="23A0C26B" w14:textId="77777777" w:rsidR="00D824D3" w:rsidRPr="000F1142" w:rsidRDefault="00D824D3">
            <w:pPr>
              <w:spacing w:line="360" w:lineRule="auto"/>
              <w:jc w:val="center"/>
              <w:rPr>
                <w:rFonts w:ascii="Tahoma" w:eastAsia="Tahoma" w:hAnsi="Tahoma" w:cs="Tahoma"/>
                <w:bCs/>
                <w:color w:val="FFC000"/>
                <w:lang w:val="en-US"/>
              </w:rPr>
            </w:pPr>
          </w:p>
          <w:p w14:paraId="694F463B" w14:textId="77777777" w:rsidR="00D824D3" w:rsidRPr="000F1142" w:rsidRDefault="00D824D3">
            <w:pPr>
              <w:spacing w:line="360" w:lineRule="auto"/>
              <w:jc w:val="center"/>
              <w:rPr>
                <w:rFonts w:ascii="Tahoma" w:eastAsia="Tahoma" w:hAnsi="Tahoma" w:cs="Tahoma"/>
                <w:bCs/>
                <w:color w:val="FFC000"/>
                <w:lang w:val="en-US"/>
              </w:rPr>
            </w:pPr>
          </w:p>
          <w:p w14:paraId="21462A97" w14:textId="77777777" w:rsidR="00D824D3" w:rsidRPr="000F1142" w:rsidRDefault="00D824D3">
            <w:pPr>
              <w:spacing w:line="360" w:lineRule="auto"/>
              <w:jc w:val="center"/>
              <w:rPr>
                <w:rFonts w:ascii="Tahoma" w:eastAsia="Tahoma" w:hAnsi="Tahoma" w:cs="Tahoma"/>
                <w:bCs/>
                <w:color w:val="FFC000"/>
                <w:lang w:val="en-US"/>
              </w:rPr>
            </w:pPr>
          </w:p>
        </w:tc>
      </w:tr>
    </w:tbl>
    <w:p w14:paraId="79BC3E52" w14:textId="77777777" w:rsidR="00D824D3" w:rsidRPr="000F1142" w:rsidRDefault="00D824D3" w:rsidP="00AD7834">
      <w:pPr>
        <w:spacing w:line="360" w:lineRule="auto"/>
        <w:ind w:right="1"/>
        <w:jc w:val="both"/>
        <w:rPr>
          <w:rFonts w:ascii="Tahoma" w:eastAsia="Tahoma" w:hAnsi="Tahoma" w:cs="Tahoma"/>
          <w:color w:val="808080"/>
          <w:sz w:val="18"/>
          <w:szCs w:val="18"/>
          <w:lang w:val="en-US"/>
        </w:rPr>
      </w:pPr>
    </w:p>
    <w:sectPr w:rsidR="00D824D3" w:rsidRPr="000F1142">
      <w:headerReference w:type="even" r:id="rId15"/>
      <w:headerReference w:type="default" r:id="rId16"/>
      <w:footerReference w:type="even" r:id="rId17"/>
      <w:footerReference w:type="default" r:id="rId18"/>
      <w:headerReference w:type="first" r:id="rId19"/>
      <w:footerReference w:type="first" r:id="rId20"/>
      <w:pgSz w:w="11906" w:h="16838"/>
      <w:pgMar w:top="1417" w:right="1133"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52D93" w14:textId="77777777" w:rsidR="006F63F6" w:rsidRDefault="006F63F6">
      <w:pPr>
        <w:spacing w:after="0" w:line="240" w:lineRule="auto"/>
      </w:pPr>
      <w:r>
        <w:separator/>
      </w:r>
    </w:p>
  </w:endnote>
  <w:endnote w:type="continuationSeparator" w:id="0">
    <w:p w14:paraId="2195EAC7" w14:textId="77777777" w:rsidR="006F63F6" w:rsidRDefault="006F6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1"/>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35280"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5475C"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5DA23"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D4D2B" w14:textId="77777777" w:rsidR="006F63F6" w:rsidRDefault="006F63F6">
      <w:pPr>
        <w:spacing w:after="0" w:line="240" w:lineRule="auto"/>
      </w:pPr>
      <w:r>
        <w:separator/>
      </w:r>
    </w:p>
  </w:footnote>
  <w:footnote w:type="continuationSeparator" w:id="0">
    <w:p w14:paraId="6744801F" w14:textId="77777777" w:rsidR="006F63F6" w:rsidRDefault="006F63F6">
      <w:pPr>
        <w:spacing w:after="0" w:line="240" w:lineRule="auto"/>
      </w:pPr>
      <w:r>
        <w:continuationSeparator/>
      </w:r>
    </w:p>
  </w:footnote>
  <w:footnote w:id="1">
    <w:p w14:paraId="14FAD53B" w14:textId="77777777" w:rsidR="00D12E4F" w:rsidRPr="000F1142" w:rsidRDefault="006F63F6">
      <w:pPr>
        <w:pStyle w:val="Tekstprzypisudolnego"/>
        <w:rPr>
          <w:rFonts w:ascii="Tahoma" w:hAnsi="Tahoma" w:cs="Tahoma"/>
          <w:lang w:val="en-US"/>
        </w:rPr>
      </w:pPr>
      <w:r w:rsidRPr="00D12E4F">
        <w:rPr>
          <w:rFonts w:eastAsia="Tahoma"/>
          <w:bCs/>
          <w:color w:val="808080"/>
          <w:sz w:val="18"/>
          <w:szCs w:val="18"/>
        </w:rPr>
        <w:footnoteRef/>
      </w:r>
      <w:r>
        <w:rPr>
          <w:rFonts w:ascii="Tahoma" w:eastAsia="Tahoma" w:hAnsi="Tahoma" w:cs="Tahoma"/>
          <w:bCs/>
          <w:color w:val="808080"/>
          <w:sz w:val="18"/>
          <w:szCs w:val="18"/>
          <w:lang w:val="en-US"/>
        </w:rPr>
        <w:t xml:space="preserve"> </w:t>
      </w:r>
      <w:r>
        <w:rPr>
          <w:rFonts w:ascii="Tahoma" w:eastAsia="Tahoma" w:hAnsi="Tahoma" w:cs="Tahoma"/>
          <w:bCs/>
          <w:color w:val="808080"/>
          <w:sz w:val="16"/>
          <w:szCs w:val="16"/>
          <w:lang w:val="en-US"/>
        </w:rPr>
        <w:t>Attributable to shareholders of the parent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1E4FE"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759A9" w14:textId="77777777" w:rsidR="00D824D3" w:rsidRDefault="006F63F6">
    <w:pPr>
      <w:pBdr>
        <w:top w:val="nil"/>
        <w:left w:val="nil"/>
        <w:bottom w:val="nil"/>
        <w:right w:val="nil"/>
        <w:between w:val="nil"/>
      </w:pBdr>
      <w:tabs>
        <w:tab w:val="left" w:pos="785"/>
        <w:tab w:val="left" w:pos="3828"/>
        <w:tab w:val="center" w:pos="4536"/>
        <w:tab w:val="right" w:pos="9072"/>
      </w:tabs>
      <w:spacing w:after="0" w:line="240" w:lineRule="auto"/>
      <w:rPr>
        <w:rFonts w:ascii="Tahoma" w:eastAsia="Tahoma" w:hAnsi="Tahoma" w:cs="Tahoma"/>
        <w:b/>
        <w:color w:val="808080"/>
        <w:sz w:val="28"/>
        <w:szCs w:val="28"/>
      </w:rPr>
    </w:pPr>
    <w:r>
      <w:rPr>
        <w:noProof/>
      </w:rPr>
      <w:drawing>
        <wp:anchor distT="0" distB="0" distL="114300" distR="114300" simplePos="0" relativeHeight="251658240" behindDoc="0" locked="0" layoutInCell="1" allowOverlap="1" wp14:anchorId="5D354843" wp14:editId="60220A87">
          <wp:simplePos x="0" y="0"/>
          <wp:positionH relativeFrom="column">
            <wp:posOffset>764</wp:posOffset>
          </wp:positionH>
          <wp:positionV relativeFrom="paragraph">
            <wp:posOffset>693</wp:posOffset>
          </wp:positionV>
          <wp:extent cx="1396800" cy="478800"/>
          <wp:effectExtent l="0" t="0" r="0" b="0"/>
          <wp:wrapNone/>
          <wp:docPr id="37" name="image3.jpg"/>
          <wp:cNvGraphicFramePr/>
          <a:graphic xmlns:a="http://schemas.openxmlformats.org/drawingml/2006/main">
            <a:graphicData uri="http://schemas.openxmlformats.org/drawingml/2006/picture">
              <pic:pic xmlns:pic="http://schemas.openxmlformats.org/drawingml/2006/picture">
                <pic:nvPicPr>
                  <pic:cNvPr id="37" name="image3.jpg"/>
                  <pic:cNvPicPr/>
                </pic:nvPicPr>
                <pic:blipFill>
                  <a:blip r:embed="rId1"/>
                  <a:stretch>
                    <a:fillRect/>
                  </a:stretch>
                </pic:blipFill>
                <pic:spPr>
                  <a:xfrm>
                    <a:off x="0" y="0"/>
                    <a:ext cx="1396800" cy="478800"/>
                  </a:xfrm>
                  <a:prstGeom prst="rect">
                    <a:avLst/>
                  </a:prstGeom>
                </pic:spPr>
              </pic:pic>
            </a:graphicData>
          </a:graphic>
        </wp:anchor>
      </w:drawing>
    </w:r>
  </w:p>
  <w:p w14:paraId="69976310" w14:textId="77777777" w:rsidR="00D824D3" w:rsidRDefault="006F63F6">
    <w:pPr>
      <w:pBdr>
        <w:top w:val="nil"/>
        <w:left w:val="nil"/>
        <w:bottom w:val="nil"/>
        <w:right w:val="nil"/>
        <w:between w:val="nil"/>
      </w:pBdr>
      <w:tabs>
        <w:tab w:val="left" w:pos="785"/>
        <w:tab w:val="center" w:pos="4536"/>
        <w:tab w:val="right" w:pos="9072"/>
      </w:tabs>
      <w:spacing w:after="0" w:line="240" w:lineRule="auto"/>
      <w:jc w:val="right"/>
      <w:rPr>
        <w:rFonts w:ascii="Tahoma" w:eastAsia="Tahoma" w:hAnsi="Tahoma" w:cs="Tahoma"/>
        <w:b/>
        <w:color w:val="808080"/>
        <w:sz w:val="28"/>
        <w:szCs w:val="28"/>
      </w:rPr>
    </w:pPr>
    <w:r>
      <w:rPr>
        <w:rFonts w:ascii="Tahoma" w:eastAsia="Tahoma" w:hAnsi="Tahoma" w:cs="Tahoma"/>
        <w:b/>
        <w:bCs/>
        <w:color w:val="808080"/>
        <w:sz w:val="28"/>
        <w:szCs w:val="28"/>
        <w:lang w:val="en-US"/>
      </w:rPr>
      <w:t>Press release</w:t>
    </w:r>
  </w:p>
  <w:p w14:paraId="6FC03F44" w14:textId="77777777" w:rsidR="00D824D3" w:rsidRDefault="00D824D3">
    <w:pPr>
      <w:pBdr>
        <w:top w:val="nil"/>
        <w:left w:val="nil"/>
        <w:bottom w:val="nil"/>
        <w:right w:val="nil"/>
        <w:between w:val="nil"/>
      </w:pBdr>
      <w:tabs>
        <w:tab w:val="left" w:pos="785"/>
        <w:tab w:val="center" w:pos="4536"/>
        <w:tab w:val="right" w:pos="9072"/>
      </w:tabs>
      <w:spacing w:after="0" w:line="240" w:lineRule="auto"/>
      <w:jc w:val="right"/>
      <w:rPr>
        <w:rFonts w:ascii="Tahoma" w:eastAsia="Tahoma" w:hAnsi="Tahoma" w:cs="Tahoma"/>
        <w:b/>
        <w:color w:val="80808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637D7"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40672"/>
    <w:multiLevelType w:val="multilevel"/>
    <w:tmpl w:val="CC9AE5D8"/>
    <w:lvl w:ilvl="0">
      <w:start w:val="1"/>
      <w:numFmt w:val="bullet"/>
      <w:lvlText w:val="●"/>
      <w:lvlJc w:val="left"/>
      <w:pPr>
        <w:ind w:left="1080" w:hanging="360"/>
      </w:pPr>
      <w:rPr>
        <w:rFonts w:ascii="Noto Sans Symbols" w:eastAsia="Noto Sans Symbols" w:hAnsi="Noto Sans Symbols" w:cs="Noto Sans Symbols"/>
        <w:b/>
        <w:color w:val="FFC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ABB07B9"/>
    <w:multiLevelType w:val="hybridMultilevel"/>
    <w:tmpl w:val="FFAAB1F4"/>
    <w:lvl w:ilvl="0" w:tplc="E8EC457A">
      <w:start w:val="1"/>
      <w:numFmt w:val="bullet"/>
      <w:lvlText w:val=""/>
      <w:lvlJc w:val="left"/>
      <w:pPr>
        <w:ind w:left="720" w:hanging="360"/>
      </w:pPr>
      <w:rPr>
        <w:rFonts w:ascii="Wingdings" w:hAnsi="Wingdings" w:hint="default"/>
        <w:color w:val="F2B800"/>
        <w:sz w:val="22"/>
      </w:rPr>
    </w:lvl>
    <w:lvl w:ilvl="1" w:tplc="C2283028" w:tentative="1">
      <w:start w:val="1"/>
      <w:numFmt w:val="bullet"/>
      <w:lvlText w:val="o"/>
      <w:lvlJc w:val="left"/>
      <w:pPr>
        <w:ind w:left="1440" w:hanging="360"/>
      </w:pPr>
      <w:rPr>
        <w:rFonts w:ascii="Courier New" w:hAnsi="Courier New" w:cs="Courier New" w:hint="default"/>
      </w:rPr>
    </w:lvl>
    <w:lvl w:ilvl="2" w:tplc="F7E808DE" w:tentative="1">
      <w:start w:val="1"/>
      <w:numFmt w:val="bullet"/>
      <w:lvlText w:val=""/>
      <w:lvlJc w:val="left"/>
      <w:pPr>
        <w:ind w:left="2160" w:hanging="360"/>
      </w:pPr>
      <w:rPr>
        <w:rFonts w:ascii="Wingdings" w:hAnsi="Wingdings" w:hint="default"/>
      </w:rPr>
    </w:lvl>
    <w:lvl w:ilvl="3" w:tplc="6A7A3FF2" w:tentative="1">
      <w:start w:val="1"/>
      <w:numFmt w:val="bullet"/>
      <w:lvlText w:val=""/>
      <w:lvlJc w:val="left"/>
      <w:pPr>
        <w:ind w:left="2880" w:hanging="360"/>
      </w:pPr>
      <w:rPr>
        <w:rFonts w:ascii="Symbol" w:hAnsi="Symbol" w:hint="default"/>
      </w:rPr>
    </w:lvl>
    <w:lvl w:ilvl="4" w:tplc="90C0BF62" w:tentative="1">
      <w:start w:val="1"/>
      <w:numFmt w:val="bullet"/>
      <w:lvlText w:val="o"/>
      <w:lvlJc w:val="left"/>
      <w:pPr>
        <w:ind w:left="3600" w:hanging="360"/>
      </w:pPr>
      <w:rPr>
        <w:rFonts w:ascii="Courier New" w:hAnsi="Courier New" w:cs="Courier New" w:hint="default"/>
      </w:rPr>
    </w:lvl>
    <w:lvl w:ilvl="5" w:tplc="CCDE0984" w:tentative="1">
      <w:start w:val="1"/>
      <w:numFmt w:val="bullet"/>
      <w:lvlText w:val=""/>
      <w:lvlJc w:val="left"/>
      <w:pPr>
        <w:ind w:left="4320" w:hanging="360"/>
      </w:pPr>
      <w:rPr>
        <w:rFonts w:ascii="Wingdings" w:hAnsi="Wingdings" w:hint="default"/>
      </w:rPr>
    </w:lvl>
    <w:lvl w:ilvl="6" w:tplc="5F50EE3C" w:tentative="1">
      <w:start w:val="1"/>
      <w:numFmt w:val="bullet"/>
      <w:lvlText w:val=""/>
      <w:lvlJc w:val="left"/>
      <w:pPr>
        <w:ind w:left="5040" w:hanging="360"/>
      </w:pPr>
      <w:rPr>
        <w:rFonts w:ascii="Symbol" w:hAnsi="Symbol" w:hint="default"/>
      </w:rPr>
    </w:lvl>
    <w:lvl w:ilvl="7" w:tplc="04268170" w:tentative="1">
      <w:start w:val="1"/>
      <w:numFmt w:val="bullet"/>
      <w:lvlText w:val="o"/>
      <w:lvlJc w:val="left"/>
      <w:pPr>
        <w:ind w:left="5760" w:hanging="360"/>
      </w:pPr>
      <w:rPr>
        <w:rFonts w:ascii="Courier New" w:hAnsi="Courier New" w:cs="Courier New" w:hint="default"/>
      </w:rPr>
    </w:lvl>
    <w:lvl w:ilvl="8" w:tplc="0796842C" w:tentative="1">
      <w:start w:val="1"/>
      <w:numFmt w:val="bullet"/>
      <w:lvlText w:val=""/>
      <w:lvlJc w:val="left"/>
      <w:pPr>
        <w:ind w:left="6480" w:hanging="360"/>
      </w:pPr>
      <w:rPr>
        <w:rFonts w:ascii="Wingdings" w:hAnsi="Wingdings" w:hint="default"/>
      </w:rPr>
    </w:lvl>
  </w:abstractNum>
  <w:abstractNum w:abstractNumId="2">
    <w:nsid w:val="2E6C0F3B"/>
    <w:multiLevelType w:val="hybridMultilevel"/>
    <w:tmpl w:val="049630C4"/>
    <w:lvl w:ilvl="0" w:tplc="469AF2D4">
      <w:start w:val="1"/>
      <w:numFmt w:val="bullet"/>
      <w:lvlText w:val="•"/>
      <w:lvlJc w:val="left"/>
      <w:pPr>
        <w:tabs>
          <w:tab w:val="num" w:pos="720"/>
        </w:tabs>
        <w:ind w:left="720" w:hanging="360"/>
      </w:pPr>
      <w:rPr>
        <w:rFonts w:ascii="Arial" w:hAnsi="Arial" w:hint="default"/>
      </w:rPr>
    </w:lvl>
    <w:lvl w:ilvl="1" w:tplc="63D42B8C" w:tentative="1">
      <w:start w:val="1"/>
      <w:numFmt w:val="bullet"/>
      <w:lvlText w:val="•"/>
      <w:lvlJc w:val="left"/>
      <w:pPr>
        <w:tabs>
          <w:tab w:val="num" w:pos="1440"/>
        </w:tabs>
        <w:ind w:left="1440" w:hanging="360"/>
      </w:pPr>
      <w:rPr>
        <w:rFonts w:ascii="Arial" w:hAnsi="Arial" w:hint="default"/>
      </w:rPr>
    </w:lvl>
    <w:lvl w:ilvl="2" w:tplc="1540827E" w:tentative="1">
      <w:start w:val="1"/>
      <w:numFmt w:val="bullet"/>
      <w:lvlText w:val="•"/>
      <w:lvlJc w:val="left"/>
      <w:pPr>
        <w:tabs>
          <w:tab w:val="num" w:pos="2160"/>
        </w:tabs>
        <w:ind w:left="2160" w:hanging="360"/>
      </w:pPr>
      <w:rPr>
        <w:rFonts w:ascii="Arial" w:hAnsi="Arial" w:hint="default"/>
      </w:rPr>
    </w:lvl>
    <w:lvl w:ilvl="3" w:tplc="99641EBE" w:tentative="1">
      <w:start w:val="1"/>
      <w:numFmt w:val="bullet"/>
      <w:lvlText w:val="•"/>
      <w:lvlJc w:val="left"/>
      <w:pPr>
        <w:tabs>
          <w:tab w:val="num" w:pos="2880"/>
        </w:tabs>
        <w:ind w:left="2880" w:hanging="360"/>
      </w:pPr>
      <w:rPr>
        <w:rFonts w:ascii="Arial" w:hAnsi="Arial" w:hint="default"/>
      </w:rPr>
    </w:lvl>
    <w:lvl w:ilvl="4" w:tplc="A944139E" w:tentative="1">
      <w:start w:val="1"/>
      <w:numFmt w:val="bullet"/>
      <w:lvlText w:val="•"/>
      <w:lvlJc w:val="left"/>
      <w:pPr>
        <w:tabs>
          <w:tab w:val="num" w:pos="3600"/>
        </w:tabs>
        <w:ind w:left="3600" w:hanging="360"/>
      </w:pPr>
      <w:rPr>
        <w:rFonts w:ascii="Arial" w:hAnsi="Arial" w:hint="default"/>
      </w:rPr>
    </w:lvl>
    <w:lvl w:ilvl="5" w:tplc="F15870E2" w:tentative="1">
      <w:start w:val="1"/>
      <w:numFmt w:val="bullet"/>
      <w:lvlText w:val="•"/>
      <w:lvlJc w:val="left"/>
      <w:pPr>
        <w:tabs>
          <w:tab w:val="num" w:pos="4320"/>
        </w:tabs>
        <w:ind w:left="4320" w:hanging="360"/>
      </w:pPr>
      <w:rPr>
        <w:rFonts w:ascii="Arial" w:hAnsi="Arial" w:hint="default"/>
      </w:rPr>
    </w:lvl>
    <w:lvl w:ilvl="6" w:tplc="119A9910" w:tentative="1">
      <w:start w:val="1"/>
      <w:numFmt w:val="bullet"/>
      <w:lvlText w:val="•"/>
      <w:lvlJc w:val="left"/>
      <w:pPr>
        <w:tabs>
          <w:tab w:val="num" w:pos="5040"/>
        </w:tabs>
        <w:ind w:left="5040" w:hanging="360"/>
      </w:pPr>
      <w:rPr>
        <w:rFonts w:ascii="Arial" w:hAnsi="Arial" w:hint="default"/>
      </w:rPr>
    </w:lvl>
    <w:lvl w:ilvl="7" w:tplc="76E00008" w:tentative="1">
      <w:start w:val="1"/>
      <w:numFmt w:val="bullet"/>
      <w:lvlText w:val="•"/>
      <w:lvlJc w:val="left"/>
      <w:pPr>
        <w:tabs>
          <w:tab w:val="num" w:pos="5760"/>
        </w:tabs>
        <w:ind w:left="5760" w:hanging="360"/>
      </w:pPr>
      <w:rPr>
        <w:rFonts w:ascii="Arial" w:hAnsi="Arial" w:hint="default"/>
      </w:rPr>
    </w:lvl>
    <w:lvl w:ilvl="8" w:tplc="92404E22" w:tentative="1">
      <w:start w:val="1"/>
      <w:numFmt w:val="bullet"/>
      <w:lvlText w:val="•"/>
      <w:lvlJc w:val="left"/>
      <w:pPr>
        <w:tabs>
          <w:tab w:val="num" w:pos="6480"/>
        </w:tabs>
        <w:ind w:left="6480" w:hanging="360"/>
      </w:pPr>
      <w:rPr>
        <w:rFonts w:ascii="Arial" w:hAnsi="Arial" w:hint="default"/>
      </w:rPr>
    </w:lvl>
  </w:abstractNum>
  <w:abstractNum w:abstractNumId="3">
    <w:nsid w:val="366E6820"/>
    <w:multiLevelType w:val="hybridMultilevel"/>
    <w:tmpl w:val="C59CA3F4"/>
    <w:lvl w:ilvl="0" w:tplc="F43C3836">
      <w:start w:val="1"/>
      <w:numFmt w:val="bullet"/>
      <w:lvlText w:val="•"/>
      <w:lvlJc w:val="left"/>
      <w:pPr>
        <w:tabs>
          <w:tab w:val="num" w:pos="720"/>
        </w:tabs>
        <w:ind w:left="720" w:hanging="360"/>
      </w:pPr>
      <w:rPr>
        <w:rFonts w:ascii="Arial" w:hAnsi="Arial" w:hint="default"/>
      </w:rPr>
    </w:lvl>
    <w:lvl w:ilvl="1" w:tplc="FCC47E20" w:tentative="1">
      <w:start w:val="1"/>
      <w:numFmt w:val="bullet"/>
      <w:lvlText w:val="•"/>
      <w:lvlJc w:val="left"/>
      <w:pPr>
        <w:tabs>
          <w:tab w:val="num" w:pos="1440"/>
        </w:tabs>
        <w:ind w:left="1440" w:hanging="360"/>
      </w:pPr>
      <w:rPr>
        <w:rFonts w:ascii="Arial" w:hAnsi="Arial" w:hint="default"/>
      </w:rPr>
    </w:lvl>
    <w:lvl w:ilvl="2" w:tplc="134A5970" w:tentative="1">
      <w:start w:val="1"/>
      <w:numFmt w:val="bullet"/>
      <w:lvlText w:val="•"/>
      <w:lvlJc w:val="left"/>
      <w:pPr>
        <w:tabs>
          <w:tab w:val="num" w:pos="2160"/>
        </w:tabs>
        <w:ind w:left="2160" w:hanging="360"/>
      </w:pPr>
      <w:rPr>
        <w:rFonts w:ascii="Arial" w:hAnsi="Arial" w:hint="default"/>
      </w:rPr>
    </w:lvl>
    <w:lvl w:ilvl="3" w:tplc="9C2CD538" w:tentative="1">
      <w:start w:val="1"/>
      <w:numFmt w:val="bullet"/>
      <w:lvlText w:val="•"/>
      <w:lvlJc w:val="left"/>
      <w:pPr>
        <w:tabs>
          <w:tab w:val="num" w:pos="2880"/>
        </w:tabs>
        <w:ind w:left="2880" w:hanging="360"/>
      </w:pPr>
      <w:rPr>
        <w:rFonts w:ascii="Arial" w:hAnsi="Arial" w:hint="default"/>
      </w:rPr>
    </w:lvl>
    <w:lvl w:ilvl="4" w:tplc="4590084E" w:tentative="1">
      <w:start w:val="1"/>
      <w:numFmt w:val="bullet"/>
      <w:lvlText w:val="•"/>
      <w:lvlJc w:val="left"/>
      <w:pPr>
        <w:tabs>
          <w:tab w:val="num" w:pos="3600"/>
        </w:tabs>
        <w:ind w:left="3600" w:hanging="360"/>
      </w:pPr>
      <w:rPr>
        <w:rFonts w:ascii="Arial" w:hAnsi="Arial" w:hint="default"/>
      </w:rPr>
    </w:lvl>
    <w:lvl w:ilvl="5" w:tplc="FB58EDF0" w:tentative="1">
      <w:start w:val="1"/>
      <w:numFmt w:val="bullet"/>
      <w:lvlText w:val="•"/>
      <w:lvlJc w:val="left"/>
      <w:pPr>
        <w:tabs>
          <w:tab w:val="num" w:pos="4320"/>
        </w:tabs>
        <w:ind w:left="4320" w:hanging="360"/>
      </w:pPr>
      <w:rPr>
        <w:rFonts w:ascii="Arial" w:hAnsi="Arial" w:hint="default"/>
      </w:rPr>
    </w:lvl>
    <w:lvl w:ilvl="6" w:tplc="D3A4C5EE" w:tentative="1">
      <w:start w:val="1"/>
      <w:numFmt w:val="bullet"/>
      <w:lvlText w:val="•"/>
      <w:lvlJc w:val="left"/>
      <w:pPr>
        <w:tabs>
          <w:tab w:val="num" w:pos="5040"/>
        </w:tabs>
        <w:ind w:left="5040" w:hanging="360"/>
      </w:pPr>
      <w:rPr>
        <w:rFonts w:ascii="Arial" w:hAnsi="Arial" w:hint="default"/>
      </w:rPr>
    </w:lvl>
    <w:lvl w:ilvl="7" w:tplc="D26272BE" w:tentative="1">
      <w:start w:val="1"/>
      <w:numFmt w:val="bullet"/>
      <w:lvlText w:val="•"/>
      <w:lvlJc w:val="left"/>
      <w:pPr>
        <w:tabs>
          <w:tab w:val="num" w:pos="5760"/>
        </w:tabs>
        <w:ind w:left="5760" w:hanging="360"/>
      </w:pPr>
      <w:rPr>
        <w:rFonts w:ascii="Arial" w:hAnsi="Arial" w:hint="default"/>
      </w:rPr>
    </w:lvl>
    <w:lvl w:ilvl="8" w:tplc="63866242" w:tentative="1">
      <w:start w:val="1"/>
      <w:numFmt w:val="bullet"/>
      <w:lvlText w:val="•"/>
      <w:lvlJc w:val="left"/>
      <w:pPr>
        <w:tabs>
          <w:tab w:val="num" w:pos="6480"/>
        </w:tabs>
        <w:ind w:left="6480" w:hanging="360"/>
      </w:pPr>
      <w:rPr>
        <w:rFonts w:ascii="Arial" w:hAnsi="Arial" w:hint="default"/>
      </w:rPr>
    </w:lvl>
  </w:abstractNum>
  <w:abstractNum w:abstractNumId="4">
    <w:nsid w:val="7003725F"/>
    <w:multiLevelType w:val="multilevel"/>
    <w:tmpl w:val="02C6DBEC"/>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9660AA0"/>
    <w:multiLevelType w:val="multilevel"/>
    <w:tmpl w:val="77F47152"/>
    <w:lvl w:ilvl="0">
      <w:start w:val="1"/>
      <w:numFmt w:val="bullet"/>
      <w:lvlText w:val="●"/>
      <w:lvlJc w:val="left"/>
      <w:pPr>
        <w:ind w:left="1080" w:hanging="360"/>
      </w:pPr>
      <w:rPr>
        <w:rFonts w:ascii="Noto Sans Symbols" w:eastAsia="Noto Sans Symbols" w:hAnsi="Noto Sans Symbols" w:cs="Noto Sans Symbols"/>
        <w:b/>
        <w:color w:val="FFC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D3"/>
    <w:rsid w:val="0000116D"/>
    <w:rsid w:val="00002FA2"/>
    <w:rsid w:val="00005901"/>
    <w:rsid w:val="0001222E"/>
    <w:rsid w:val="000150C1"/>
    <w:rsid w:val="0001727E"/>
    <w:rsid w:val="00027A52"/>
    <w:rsid w:val="00032F3D"/>
    <w:rsid w:val="00033E4A"/>
    <w:rsid w:val="00033EEE"/>
    <w:rsid w:val="0003691C"/>
    <w:rsid w:val="00044B01"/>
    <w:rsid w:val="000471E4"/>
    <w:rsid w:val="00053E58"/>
    <w:rsid w:val="000602EE"/>
    <w:rsid w:val="00061B68"/>
    <w:rsid w:val="00061F85"/>
    <w:rsid w:val="0006314F"/>
    <w:rsid w:val="000644F6"/>
    <w:rsid w:val="00083EB2"/>
    <w:rsid w:val="0008411D"/>
    <w:rsid w:val="00084D2C"/>
    <w:rsid w:val="00084DAA"/>
    <w:rsid w:val="000908AD"/>
    <w:rsid w:val="0009261F"/>
    <w:rsid w:val="000935B7"/>
    <w:rsid w:val="00093C5B"/>
    <w:rsid w:val="00094318"/>
    <w:rsid w:val="00096E60"/>
    <w:rsid w:val="000A0D19"/>
    <w:rsid w:val="000A29DB"/>
    <w:rsid w:val="000A3F9F"/>
    <w:rsid w:val="000A4C94"/>
    <w:rsid w:val="000B0FF0"/>
    <w:rsid w:val="000B38FA"/>
    <w:rsid w:val="000B4EAD"/>
    <w:rsid w:val="000B570C"/>
    <w:rsid w:val="000B7985"/>
    <w:rsid w:val="000C0857"/>
    <w:rsid w:val="000C30F6"/>
    <w:rsid w:val="000C5892"/>
    <w:rsid w:val="000C60FB"/>
    <w:rsid w:val="000D3434"/>
    <w:rsid w:val="000D4CA2"/>
    <w:rsid w:val="000D51F1"/>
    <w:rsid w:val="000D6166"/>
    <w:rsid w:val="000E4D10"/>
    <w:rsid w:val="000E5514"/>
    <w:rsid w:val="000F1142"/>
    <w:rsid w:val="000F478F"/>
    <w:rsid w:val="000F734A"/>
    <w:rsid w:val="000F7CDD"/>
    <w:rsid w:val="00103FBA"/>
    <w:rsid w:val="00106347"/>
    <w:rsid w:val="00120F42"/>
    <w:rsid w:val="00121797"/>
    <w:rsid w:val="00125739"/>
    <w:rsid w:val="0012600E"/>
    <w:rsid w:val="00131EA2"/>
    <w:rsid w:val="00135A1E"/>
    <w:rsid w:val="001378BE"/>
    <w:rsid w:val="001415FC"/>
    <w:rsid w:val="001427C1"/>
    <w:rsid w:val="001451FD"/>
    <w:rsid w:val="00147473"/>
    <w:rsid w:val="0015239C"/>
    <w:rsid w:val="00154AF9"/>
    <w:rsid w:val="00161B1D"/>
    <w:rsid w:val="00164288"/>
    <w:rsid w:val="001652FF"/>
    <w:rsid w:val="0016660D"/>
    <w:rsid w:val="001716DD"/>
    <w:rsid w:val="00171E71"/>
    <w:rsid w:val="00176796"/>
    <w:rsid w:val="00176B23"/>
    <w:rsid w:val="00177F03"/>
    <w:rsid w:val="00180DCA"/>
    <w:rsid w:val="00183716"/>
    <w:rsid w:val="00184033"/>
    <w:rsid w:val="00184B5B"/>
    <w:rsid w:val="00185CBD"/>
    <w:rsid w:val="0019013E"/>
    <w:rsid w:val="001906A3"/>
    <w:rsid w:val="00191813"/>
    <w:rsid w:val="00192F14"/>
    <w:rsid w:val="00193800"/>
    <w:rsid w:val="00196E4D"/>
    <w:rsid w:val="001A13BD"/>
    <w:rsid w:val="001A4444"/>
    <w:rsid w:val="001A4687"/>
    <w:rsid w:val="001A5E03"/>
    <w:rsid w:val="001A6154"/>
    <w:rsid w:val="001B18F8"/>
    <w:rsid w:val="001B3A88"/>
    <w:rsid w:val="001B53AC"/>
    <w:rsid w:val="001C6BED"/>
    <w:rsid w:val="001C78CD"/>
    <w:rsid w:val="001D1508"/>
    <w:rsid w:val="001D3BBF"/>
    <w:rsid w:val="001D6D47"/>
    <w:rsid w:val="001E2FCE"/>
    <w:rsid w:val="001E3718"/>
    <w:rsid w:val="001E5D2F"/>
    <w:rsid w:val="001E5F16"/>
    <w:rsid w:val="001E6465"/>
    <w:rsid w:val="001E655D"/>
    <w:rsid w:val="001F3AC1"/>
    <w:rsid w:val="001F3B78"/>
    <w:rsid w:val="001F540C"/>
    <w:rsid w:val="00200282"/>
    <w:rsid w:val="002021D8"/>
    <w:rsid w:val="00205C0B"/>
    <w:rsid w:val="00207D56"/>
    <w:rsid w:val="00210B3A"/>
    <w:rsid w:val="00210B70"/>
    <w:rsid w:val="0021267C"/>
    <w:rsid w:val="0022070B"/>
    <w:rsid w:val="002332A6"/>
    <w:rsid w:val="00234145"/>
    <w:rsid w:val="00235BCA"/>
    <w:rsid w:val="00236736"/>
    <w:rsid w:val="0023777F"/>
    <w:rsid w:val="00241059"/>
    <w:rsid w:val="002431E6"/>
    <w:rsid w:val="00244B52"/>
    <w:rsid w:val="002451CA"/>
    <w:rsid w:val="00246369"/>
    <w:rsid w:val="00246991"/>
    <w:rsid w:val="00247108"/>
    <w:rsid w:val="002560E2"/>
    <w:rsid w:val="002572B2"/>
    <w:rsid w:val="0026041E"/>
    <w:rsid w:val="002606E5"/>
    <w:rsid w:val="0026199D"/>
    <w:rsid w:val="002666B2"/>
    <w:rsid w:val="00270259"/>
    <w:rsid w:val="002705D2"/>
    <w:rsid w:val="00271E13"/>
    <w:rsid w:val="00276417"/>
    <w:rsid w:val="00277101"/>
    <w:rsid w:val="002773EE"/>
    <w:rsid w:val="002831E6"/>
    <w:rsid w:val="00286464"/>
    <w:rsid w:val="00287756"/>
    <w:rsid w:val="00291889"/>
    <w:rsid w:val="002925D8"/>
    <w:rsid w:val="0029747F"/>
    <w:rsid w:val="002A381C"/>
    <w:rsid w:val="002A5397"/>
    <w:rsid w:val="002A572C"/>
    <w:rsid w:val="002A6649"/>
    <w:rsid w:val="002A6AC8"/>
    <w:rsid w:val="002A6E36"/>
    <w:rsid w:val="002B1C9B"/>
    <w:rsid w:val="002B24AA"/>
    <w:rsid w:val="002B2FB1"/>
    <w:rsid w:val="002B47CE"/>
    <w:rsid w:val="002B6F72"/>
    <w:rsid w:val="002C0A13"/>
    <w:rsid w:val="002C4D36"/>
    <w:rsid w:val="002C6B44"/>
    <w:rsid w:val="002C71F2"/>
    <w:rsid w:val="002C72FF"/>
    <w:rsid w:val="002D0419"/>
    <w:rsid w:val="002D0A73"/>
    <w:rsid w:val="002E348B"/>
    <w:rsid w:val="002E3542"/>
    <w:rsid w:val="002E4678"/>
    <w:rsid w:val="002E4732"/>
    <w:rsid w:val="002E7720"/>
    <w:rsid w:val="002F2A15"/>
    <w:rsid w:val="002F2A38"/>
    <w:rsid w:val="002F35F7"/>
    <w:rsid w:val="002F6225"/>
    <w:rsid w:val="003015AC"/>
    <w:rsid w:val="003023A0"/>
    <w:rsid w:val="0030310D"/>
    <w:rsid w:val="00310980"/>
    <w:rsid w:val="00312C4B"/>
    <w:rsid w:val="00314477"/>
    <w:rsid w:val="00314819"/>
    <w:rsid w:val="0031612E"/>
    <w:rsid w:val="00323D83"/>
    <w:rsid w:val="003242A3"/>
    <w:rsid w:val="00330315"/>
    <w:rsid w:val="00330932"/>
    <w:rsid w:val="00335E0E"/>
    <w:rsid w:val="003371B4"/>
    <w:rsid w:val="00337C34"/>
    <w:rsid w:val="00337F4C"/>
    <w:rsid w:val="00337F71"/>
    <w:rsid w:val="003413EC"/>
    <w:rsid w:val="00343609"/>
    <w:rsid w:val="00343F41"/>
    <w:rsid w:val="00352719"/>
    <w:rsid w:val="00356480"/>
    <w:rsid w:val="00360B0E"/>
    <w:rsid w:val="003615FB"/>
    <w:rsid w:val="003711C0"/>
    <w:rsid w:val="003734D3"/>
    <w:rsid w:val="003741B3"/>
    <w:rsid w:val="00374264"/>
    <w:rsid w:val="00375A37"/>
    <w:rsid w:val="00377098"/>
    <w:rsid w:val="00380BE2"/>
    <w:rsid w:val="00382683"/>
    <w:rsid w:val="0038295F"/>
    <w:rsid w:val="00383BB6"/>
    <w:rsid w:val="00384766"/>
    <w:rsid w:val="0038504E"/>
    <w:rsid w:val="003858D5"/>
    <w:rsid w:val="00392AC2"/>
    <w:rsid w:val="003A0B81"/>
    <w:rsid w:val="003A69C7"/>
    <w:rsid w:val="003A74B7"/>
    <w:rsid w:val="003B2692"/>
    <w:rsid w:val="003B3277"/>
    <w:rsid w:val="003C0EF3"/>
    <w:rsid w:val="003C2CDF"/>
    <w:rsid w:val="003C6385"/>
    <w:rsid w:val="003C69DD"/>
    <w:rsid w:val="003C6FEF"/>
    <w:rsid w:val="003D0FAF"/>
    <w:rsid w:val="003D46A5"/>
    <w:rsid w:val="003D4B50"/>
    <w:rsid w:val="003D66BD"/>
    <w:rsid w:val="003E1C5E"/>
    <w:rsid w:val="003E4795"/>
    <w:rsid w:val="003F0366"/>
    <w:rsid w:val="003F479C"/>
    <w:rsid w:val="00406D9D"/>
    <w:rsid w:val="004151F3"/>
    <w:rsid w:val="00417A3F"/>
    <w:rsid w:val="0042081D"/>
    <w:rsid w:val="004226D7"/>
    <w:rsid w:val="00423508"/>
    <w:rsid w:val="004243C5"/>
    <w:rsid w:val="00424ADA"/>
    <w:rsid w:val="00426430"/>
    <w:rsid w:val="0044439A"/>
    <w:rsid w:val="00447762"/>
    <w:rsid w:val="00450590"/>
    <w:rsid w:val="00450B7A"/>
    <w:rsid w:val="004510B2"/>
    <w:rsid w:val="00452E75"/>
    <w:rsid w:val="00453309"/>
    <w:rsid w:val="00456535"/>
    <w:rsid w:val="00456A67"/>
    <w:rsid w:val="004572A8"/>
    <w:rsid w:val="004609BE"/>
    <w:rsid w:val="0046106B"/>
    <w:rsid w:val="00462712"/>
    <w:rsid w:val="00463013"/>
    <w:rsid w:val="00463ABF"/>
    <w:rsid w:val="00463DBB"/>
    <w:rsid w:val="00464544"/>
    <w:rsid w:val="00467362"/>
    <w:rsid w:val="00467924"/>
    <w:rsid w:val="00471B82"/>
    <w:rsid w:val="004763AA"/>
    <w:rsid w:val="00486407"/>
    <w:rsid w:val="00493212"/>
    <w:rsid w:val="004A002F"/>
    <w:rsid w:val="004A25A7"/>
    <w:rsid w:val="004A417F"/>
    <w:rsid w:val="004A4455"/>
    <w:rsid w:val="004B19B6"/>
    <w:rsid w:val="004B4F60"/>
    <w:rsid w:val="004C1457"/>
    <w:rsid w:val="004C2725"/>
    <w:rsid w:val="004C3EFA"/>
    <w:rsid w:val="004D0C35"/>
    <w:rsid w:val="004D0CC7"/>
    <w:rsid w:val="004D1903"/>
    <w:rsid w:val="004D5354"/>
    <w:rsid w:val="004D578B"/>
    <w:rsid w:val="004D57DB"/>
    <w:rsid w:val="004D5A7C"/>
    <w:rsid w:val="004D6574"/>
    <w:rsid w:val="004D7BB2"/>
    <w:rsid w:val="004E039F"/>
    <w:rsid w:val="004E053D"/>
    <w:rsid w:val="004E25E2"/>
    <w:rsid w:val="004E3670"/>
    <w:rsid w:val="004E3BF3"/>
    <w:rsid w:val="004E4375"/>
    <w:rsid w:val="004E514D"/>
    <w:rsid w:val="004E664B"/>
    <w:rsid w:val="004E7219"/>
    <w:rsid w:val="004E7872"/>
    <w:rsid w:val="004F5F2B"/>
    <w:rsid w:val="004F656D"/>
    <w:rsid w:val="004F76E3"/>
    <w:rsid w:val="0050050B"/>
    <w:rsid w:val="0050128F"/>
    <w:rsid w:val="005030B7"/>
    <w:rsid w:val="005106E9"/>
    <w:rsid w:val="00513957"/>
    <w:rsid w:val="0051534A"/>
    <w:rsid w:val="0051554F"/>
    <w:rsid w:val="005170F0"/>
    <w:rsid w:val="00517459"/>
    <w:rsid w:val="00522CB9"/>
    <w:rsid w:val="00523088"/>
    <w:rsid w:val="00523279"/>
    <w:rsid w:val="0052392A"/>
    <w:rsid w:val="00523965"/>
    <w:rsid w:val="005316F2"/>
    <w:rsid w:val="005319A4"/>
    <w:rsid w:val="0053398D"/>
    <w:rsid w:val="0053503C"/>
    <w:rsid w:val="005403F2"/>
    <w:rsid w:val="00543269"/>
    <w:rsid w:val="005446F5"/>
    <w:rsid w:val="00544A7C"/>
    <w:rsid w:val="0055003D"/>
    <w:rsid w:val="00551364"/>
    <w:rsid w:val="005525D3"/>
    <w:rsid w:val="00552AF7"/>
    <w:rsid w:val="00553801"/>
    <w:rsid w:val="005539C6"/>
    <w:rsid w:val="00553A39"/>
    <w:rsid w:val="00553D50"/>
    <w:rsid w:val="00556C60"/>
    <w:rsid w:val="00556E89"/>
    <w:rsid w:val="0056066B"/>
    <w:rsid w:val="005623F5"/>
    <w:rsid w:val="00562455"/>
    <w:rsid w:val="0056314F"/>
    <w:rsid w:val="00563A0B"/>
    <w:rsid w:val="005717E9"/>
    <w:rsid w:val="005743C9"/>
    <w:rsid w:val="00574EC5"/>
    <w:rsid w:val="0058424C"/>
    <w:rsid w:val="00584EAB"/>
    <w:rsid w:val="005863A7"/>
    <w:rsid w:val="00591CE7"/>
    <w:rsid w:val="0059770F"/>
    <w:rsid w:val="00597B7F"/>
    <w:rsid w:val="005A5043"/>
    <w:rsid w:val="005B039B"/>
    <w:rsid w:val="005B155B"/>
    <w:rsid w:val="005B248C"/>
    <w:rsid w:val="005B3CF6"/>
    <w:rsid w:val="005B5026"/>
    <w:rsid w:val="005B5616"/>
    <w:rsid w:val="005B7A89"/>
    <w:rsid w:val="005C07AB"/>
    <w:rsid w:val="005C58F7"/>
    <w:rsid w:val="005C7276"/>
    <w:rsid w:val="005D25D3"/>
    <w:rsid w:val="005D7C59"/>
    <w:rsid w:val="005E0107"/>
    <w:rsid w:val="005E090C"/>
    <w:rsid w:val="005E2831"/>
    <w:rsid w:val="005E4881"/>
    <w:rsid w:val="005E690A"/>
    <w:rsid w:val="005F1CF1"/>
    <w:rsid w:val="005F3B41"/>
    <w:rsid w:val="005F4BD2"/>
    <w:rsid w:val="005F65B4"/>
    <w:rsid w:val="005F6802"/>
    <w:rsid w:val="005F6D3C"/>
    <w:rsid w:val="005F75ED"/>
    <w:rsid w:val="005F7CFF"/>
    <w:rsid w:val="00605FB6"/>
    <w:rsid w:val="00607CC8"/>
    <w:rsid w:val="00610F49"/>
    <w:rsid w:val="00611BD0"/>
    <w:rsid w:val="006137A4"/>
    <w:rsid w:val="006139E0"/>
    <w:rsid w:val="00615980"/>
    <w:rsid w:val="006217C8"/>
    <w:rsid w:val="006221EC"/>
    <w:rsid w:val="00624E80"/>
    <w:rsid w:val="00626C98"/>
    <w:rsid w:val="006273F5"/>
    <w:rsid w:val="00633416"/>
    <w:rsid w:val="006335D0"/>
    <w:rsid w:val="00634818"/>
    <w:rsid w:val="00636727"/>
    <w:rsid w:val="00636F6F"/>
    <w:rsid w:val="0064310D"/>
    <w:rsid w:val="00650F76"/>
    <w:rsid w:val="006511B1"/>
    <w:rsid w:val="006514B7"/>
    <w:rsid w:val="00651C6F"/>
    <w:rsid w:val="00652414"/>
    <w:rsid w:val="00653204"/>
    <w:rsid w:val="00654549"/>
    <w:rsid w:val="00660924"/>
    <w:rsid w:val="00660A27"/>
    <w:rsid w:val="00661489"/>
    <w:rsid w:val="00661E49"/>
    <w:rsid w:val="00662B0E"/>
    <w:rsid w:val="00664FA5"/>
    <w:rsid w:val="00665EE0"/>
    <w:rsid w:val="006670FF"/>
    <w:rsid w:val="0067655C"/>
    <w:rsid w:val="00684AEF"/>
    <w:rsid w:val="00685FB2"/>
    <w:rsid w:val="006908D3"/>
    <w:rsid w:val="00691304"/>
    <w:rsid w:val="006913B6"/>
    <w:rsid w:val="00693AAB"/>
    <w:rsid w:val="006943AF"/>
    <w:rsid w:val="006A1C56"/>
    <w:rsid w:val="006B12A4"/>
    <w:rsid w:val="006B342C"/>
    <w:rsid w:val="006B4024"/>
    <w:rsid w:val="006B4545"/>
    <w:rsid w:val="006B4A0C"/>
    <w:rsid w:val="006B4EE8"/>
    <w:rsid w:val="006B683D"/>
    <w:rsid w:val="006B7429"/>
    <w:rsid w:val="006C0560"/>
    <w:rsid w:val="006C059D"/>
    <w:rsid w:val="006D060D"/>
    <w:rsid w:val="006D1428"/>
    <w:rsid w:val="006D5288"/>
    <w:rsid w:val="006D546B"/>
    <w:rsid w:val="006D640A"/>
    <w:rsid w:val="006D71C6"/>
    <w:rsid w:val="006D721C"/>
    <w:rsid w:val="006E130B"/>
    <w:rsid w:val="006E238E"/>
    <w:rsid w:val="006E566D"/>
    <w:rsid w:val="006E5944"/>
    <w:rsid w:val="006E61C6"/>
    <w:rsid w:val="006E716B"/>
    <w:rsid w:val="006F30C5"/>
    <w:rsid w:val="006F3FA9"/>
    <w:rsid w:val="006F63F6"/>
    <w:rsid w:val="007012C0"/>
    <w:rsid w:val="00702E01"/>
    <w:rsid w:val="00703F19"/>
    <w:rsid w:val="00704F7D"/>
    <w:rsid w:val="00705048"/>
    <w:rsid w:val="007065F1"/>
    <w:rsid w:val="00707906"/>
    <w:rsid w:val="0071028C"/>
    <w:rsid w:val="00710618"/>
    <w:rsid w:val="00710E33"/>
    <w:rsid w:val="00712B2C"/>
    <w:rsid w:val="007143D6"/>
    <w:rsid w:val="007157E1"/>
    <w:rsid w:val="007172F7"/>
    <w:rsid w:val="00717A8C"/>
    <w:rsid w:val="00725A96"/>
    <w:rsid w:val="00726BDF"/>
    <w:rsid w:val="007332AF"/>
    <w:rsid w:val="00734DF8"/>
    <w:rsid w:val="007426FD"/>
    <w:rsid w:val="007429FA"/>
    <w:rsid w:val="00745755"/>
    <w:rsid w:val="00747599"/>
    <w:rsid w:val="00756852"/>
    <w:rsid w:val="00762BB9"/>
    <w:rsid w:val="007659C0"/>
    <w:rsid w:val="00770099"/>
    <w:rsid w:val="00770BC3"/>
    <w:rsid w:val="007713CB"/>
    <w:rsid w:val="007724D1"/>
    <w:rsid w:val="00775CAB"/>
    <w:rsid w:val="0077747E"/>
    <w:rsid w:val="00777A92"/>
    <w:rsid w:val="00783DC9"/>
    <w:rsid w:val="007856F6"/>
    <w:rsid w:val="00794031"/>
    <w:rsid w:val="007A6067"/>
    <w:rsid w:val="007B4EE7"/>
    <w:rsid w:val="007B74D0"/>
    <w:rsid w:val="007C3807"/>
    <w:rsid w:val="007C69AF"/>
    <w:rsid w:val="007C6D66"/>
    <w:rsid w:val="007C79AA"/>
    <w:rsid w:val="007D043C"/>
    <w:rsid w:val="007D1253"/>
    <w:rsid w:val="007D1D38"/>
    <w:rsid w:val="007D2158"/>
    <w:rsid w:val="007D3A36"/>
    <w:rsid w:val="007D5978"/>
    <w:rsid w:val="007D6975"/>
    <w:rsid w:val="007D7046"/>
    <w:rsid w:val="007D790E"/>
    <w:rsid w:val="007D7917"/>
    <w:rsid w:val="007E19BC"/>
    <w:rsid w:val="007E21D6"/>
    <w:rsid w:val="007F0AAC"/>
    <w:rsid w:val="007F2209"/>
    <w:rsid w:val="007F4369"/>
    <w:rsid w:val="007F54CB"/>
    <w:rsid w:val="007F775D"/>
    <w:rsid w:val="00803A9E"/>
    <w:rsid w:val="00804DC5"/>
    <w:rsid w:val="00806358"/>
    <w:rsid w:val="00806625"/>
    <w:rsid w:val="008071F7"/>
    <w:rsid w:val="0080729F"/>
    <w:rsid w:val="00807471"/>
    <w:rsid w:val="00807C4C"/>
    <w:rsid w:val="00810CB0"/>
    <w:rsid w:val="00811901"/>
    <w:rsid w:val="00815619"/>
    <w:rsid w:val="00815E45"/>
    <w:rsid w:val="008166BC"/>
    <w:rsid w:val="008230DA"/>
    <w:rsid w:val="00824271"/>
    <w:rsid w:val="00825812"/>
    <w:rsid w:val="00825FA7"/>
    <w:rsid w:val="008300BE"/>
    <w:rsid w:val="008373EA"/>
    <w:rsid w:val="00840917"/>
    <w:rsid w:val="00841029"/>
    <w:rsid w:val="00845941"/>
    <w:rsid w:val="00850178"/>
    <w:rsid w:val="00850757"/>
    <w:rsid w:val="0085210D"/>
    <w:rsid w:val="00854FCC"/>
    <w:rsid w:val="0086463D"/>
    <w:rsid w:val="00864650"/>
    <w:rsid w:val="00867B13"/>
    <w:rsid w:val="0087155D"/>
    <w:rsid w:val="00871CAB"/>
    <w:rsid w:val="00875D93"/>
    <w:rsid w:val="0088046B"/>
    <w:rsid w:val="00887135"/>
    <w:rsid w:val="00890BCD"/>
    <w:rsid w:val="00893D6E"/>
    <w:rsid w:val="00895F6D"/>
    <w:rsid w:val="008A0044"/>
    <w:rsid w:val="008A1549"/>
    <w:rsid w:val="008A32BF"/>
    <w:rsid w:val="008A6A8C"/>
    <w:rsid w:val="008B141D"/>
    <w:rsid w:val="008B17C9"/>
    <w:rsid w:val="008B19CA"/>
    <w:rsid w:val="008B1D6D"/>
    <w:rsid w:val="008C2D2B"/>
    <w:rsid w:val="008C3396"/>
    <w:rsid w:val="008C3407"/>
    <w:rsid w:val="008D176B"/>
    <w:rsid w:val="008D3344"/>
    <w:rsid w:val="008D3B53"/>
    <w:rsid w:val="008D6295"/>
    <w:rsid w:val="008E179B"/>
    <w:rsid w:val="008E49DC"/>
    <w:rsid w:val="008E5974"/>
    <w:rsid w:val="008F0F82"/>
    <w:rsid w:val="008F2928"/>
    <w:rsid w:val="008F47AB"/>
    <w:rsid w:val="008F662C"/>
    <w:rsid w:val="009004D4"/>
    <w:rsid w:val="00903035"/>
    <w:rsid w:val="0090320E"/>
    <w:rsid w:val="00904BD3"/>
    <w:rsid w:val="009060CB"/>
    <w:rsid w:val="00910F1A"/>
    <w:rsid w:val="00917E35"/>
    <w:rsid w:val="00917F22"/>
    <w:rsid w:val="00926AB4"/>
    <w:rsid w:val="00926FDF"/>
    <w:rsid w:val="00934D02"/>
    <w:rsid w:val="00934E3C"/>
    <w:rsid w:val="00935CAC"/>
    <w:rsid w:val="009412FA"/>
    <w:rsid w:val="009423FC"/>
    <w:rsid w:val="009440A3"/>
    <w:rsid w:val="00950989"/>
    <w:rsid w:val="00950CD1"/>
    <w:rsid w:val="00953058"/>
    <w:rsid w:val="00954753"/>
    <w:rsid w:val="0095559D"/>
    <w:rsid w:val="00961726"/>
    <w:rsid w:val="00962694"/>
    <w:rsid w:val="00980272"/>
    <w:rsid w:val="00985437"/>
    <w:rsid w:val="00985A8D"/>
    <w:rsid w:val="00985D5B"/>
    <w:rsid w:val="00986024"/>
    <w:rsid w:val="0099010B"/>
    <w:rsid w:val="00990A62"/>
    <w:rsid w:val="009923E1"/>
    <w:rsid w:val="009934D7"/>
    <w:rsid w:val="009966F7"/>
    <w:rsid w:val="00996992"/>
    <w:rsid w:val="009A0BA1"/>
    <w:rsid w:val="009A2A41"/>
    <w:rsid w:val="009A6A6A"/>
    <w:rsid w:val="009B023E"/>
    <w:rsid w:val="009B24AE"/>
    <w:rsid w:val="009B3898"/>
    <w:rsid w:val="009B5EAF"/>
    <w:rsid w:val="009B7B45"/>
    <w:rsid w:val="009C597A"/>
    <w:rsid w:val="009C59A0"/>
    <w:rsid w:val="009C79F3"/>
    <w:rsid w:val="009C7D4A"/>
    <w:rsid w:val="009C7EB1"/>
    <w:rsid w:val="009D744F"/>
    <w:rsid w:val="009E34F6"/>
    <w:rsid w:val="009E4C4D"/>
    <w:rsid w:val="009F768E"/>
    <w:rsid w:val="00A01C61"/>
    <w:rsid w:val="00A04962"/>
    <w:rsid w:val="00A04EE4"/>
    <w:rsid w:val="00A10619"/>
    <w:rsid w:val="00A11950"/>
    <w:rsid w:val="00A13CA8"/>
    <w:rsid w:val="00A242D0"/>
    <w:rsid w:val="00A25D83"/>
    <w:rsid w:val="00A2774D"/>
    <w:rsid w:val="00A30799"/>
    <w:rsid w:val="00A356C3"/>
    <w:rsid w:val="00A405AF"/>
    <w:rsid w:val="00A40E99"/>
    <w:rsid w:val="00A427E8"/>
    <w:rsid w:val="00A468F2"/>
    <w:rsid w:val="00A508CB"/>
    <w:rsid w:val="00A51152"/>
    <w:rsid w:val="00A542E3"/>
    <w:rsid w:val="00A56E7C"/>
    <w:rsid w:val="00A66652"/>
    <w:rsid w:val="00A67FDE"/>
    <w:rsid w:val="00A70255"/>
    <w:rsid w:val="00A704C6"/>
    <w:rsid w:val="00A72C26"/>
    <w:rsid w:val="00A75A99"/>
    <w:rsid w:val="00A75C3B"/>
    <w:rsid w:val="00A82D75"/>
    <w:rsid w:val="00A85A81"/>
    <w:rsid w:val="00A91984"/>
    <w:rsid w:val="00A9414D"/>
    <w:rsid w:val="00A94DDE"/>
    <w:rsid w:val="00A95921"/>
    <w:rsid w:val="00A96B52"/>
    <w:rsid w:val="00AA6CD3"/>
    <w:rsid w:val="00AA6F3B"/>
    <w:rsid w:val="00AB0617"/>
    <w:rsid w:val="00AB0BC8"/>
    <w:rsid w:val="00AB123B"/>
    <w:rsid w:val="00AB2860"/>
    <w:rsid w:val="00AB2D79"/>
    <w:rsid w:val="00AB2DD9"/>
    <w:rsid w:val="00AB3C2E"/>
    <w:rsid w:val="00AB5794"/>
    <w:rsid w:val="00AC4603"/>
    <w:rsid w:val="00AC6E6F"/>
    <w:rsid w:val="00AD1935"/>
    <w:rsid w:val="00AD1A09"/>
    <w:rsid w:val="00AD7834"/>
    <w:rsid w:val="00AD7A82"/>
    <w:rsid w:val="00AE43FD"/>
    <w:rsid w:val="00AE4646"/>
    <w:rsid w:val="00AE7510"/>
    <w:rsid w:val="00AF215D"/>
    <w:rsid w:val="00AF4889"/>
    <w:rsid w:val="00B011E4"/>
    <w:rsid w:val="00B03683"/>
    <w:rsid w:val="00B11EAE"/>
    <w:rsid w:val="00B133ED"/>
    <w:rsid w:val="00B2487A"/>
    <w:rsid w:val="00B31685"/>
    <w:rsid w:val="00B335BA"/>
    <w:rsid w:val="00B33DE3"/>
    <w:rsid w:val="00B36AEC"/>
    <w:rsid w:val="00B37B89"/>
    <w:rsid w:val="00B40E99"/>
    <w:rsid w:val="00B45602"/>
    <w:rsid w:val="00B47F50"/>
    <w:rsid w:val="00B50CA0"/>
    <w:rsid w:val="00B51181"/>
    <w:rsid w:val="00B51709"/>
    <w:rsid w:val="00B5735A"/>
    <w:rsid w:val="00B60995"/>
    <w:rsid w:val="00B63B5B"/>
    <w:rsid w:val="00B669D5"/>
    <w:rsid w:val="00B72AF4"/>
    <w:rsid w:val="00B7408F"/>
    <w:rsid w:val="00B763A5"/>
    <w:rsid w:val="00B76DEA"/>
    <w:rsid w:val="00B83EAA"/>
    <w:rsid w:val="00B84905"/>
    <w:rsid w:val="00B855F5"/>
    <w:rsid w:val="00B8647C"/>
    <w:rsid w:val="00B86B9D"/>
    <w:rsid w:val="00B90474"/>
    <w:rsid w:val="00B94D5E"/>
    <w:rsid w:val="00B96C47"/>
    <w:rsid w:val="00BA3215"/>
    <w:rsid w:val="00BB20C3"/>
    <w:rsid w:val="00BB37BF"/>
    <w:rsid w:val="00BB5EFD"/>
    <w:rsid w:val="00BB6BF7"/>
    <w:rsid w:val="00BC3261"/>
    <w:rsid w:val="00BD0353"/>
    <w:rsid w:val="00BD0F23"/>
    <w:rsid w:val="00BD24EB"/>
    <w:rsid w:val="00BD399A"/>
    <w:rsid w:val="00BD63C9"/>
    <w:rsid w:val="00BD708C"/>
    <w:rsid w:val="00BE0EAA"/>
    <w:rsid w:val="00BE0F4A"/>
    <w:rsid w:val="00BE1816"/>
    <w:rsid w:val="00BE194F"/>
    <w:rsid w:val="00BE3FC4"/>
    <w:rsid w:val="00BE4E23"/>
    <w:rsid w:val="00BE7948"/>
    <w:rsid w:val="00BF116E"/>
    <w:rsid w:val="00BF1497"/>
    <w:rsid w:val="00BF1ADB"/>
    <w:rsid w:val="00BF2F6F"/>
    <w:rsid w:val="00BF4B05"/>
    <w:rsid w:val="00BF549F"/>
    <w:rsid w:val="00BF55EE"/>
    <w:rsid w:val="00BF615C"/>
    <w:rsid w:val="00C02D68"/>
    <w:rsid w:val="00C040ED"/>
    <w:rsid w:val="00C04925"/>
    <w:rsid w:val="00C050CB"/>
    <w:rsid w:val="00C06355"/>
    <w:rsid w:val="00C07082"/>
    <w:rsid w:val="00C07D71"/>
    <w:rsid w:val="00C07D7B"/>
    <w:rsid w:val="00C1161C"/>
    <w:rsid w:val="00C11B8B"/>
    <w:rsid w:val="00C12F0F"/>
    <w:rsid w:val="00C1552F"/>
    <w:rsid w:val="00C1683A"/>
    <w:rsid w:val="00C21BFC"/>
    <w:rsid w:val="00C220E3"/>
    <w:rsid w:val="00C22311"/>
    <w:rsid w:val="00C2526F"/>
    <w:rsid w:val="00C25482"/>
    <w:rsid w:val="00C2719B"/>
    <w:rsid w:val="00C2751E"/>
    <w:rsid w:val="00C3012B"/>
    <w:rsid w:val="00C3176E"/>
    <w:rsid w:val="00C32C83"/>
    <w:rsid w:val="00C332F1"/>
    <w:rsid w:val="00C41615"/>
    <w:rsid w:val="00C43084"/>
    <w:rsid w:val="00C44E46"/>
    <w:rsid w:val="00C45404"/>
    <w:rsid w:val="00C47A3A"/>
    <w:rsid w:val="00C47CAD"/>
    <w:rsid w:val="00C51318"/>
    <w:rsid w:val="00C51F92"/>
    <w:rsid w:val="00C55A9C"/>
    <w:rsid w:val="00C56073"/>
    <w:rsid w:val="00C611C9"/>
    <w:rsid w:val="00C6200A"/>
    <w:rsid w:val="00C66C0B"/>
    <w:rsid w:val="00C71D6B"/>
    <w:rsid w:val="00C743F6"/>
    <w:rsid w:val="00C751E7"/>
    <w:rsid w:val="00C808F2"/>
    <w:rsid w:val="00C81D11"/>
    <w:rsid w:val="00C81E1B"/>
    <w:rsid w:val="00C82D9C"/>
    <w:rsid w:val="00C83974"/>
    <w:rsid w:val="00C84E31"/>
    <w:rsid w:val="00C853EF"/>
    <w:rsid w:val="00C874E5"/>
    <w:rsid w:val="00C927B2"/>
    <w:rsid w:val="00C93FA1"/>
    <w:rsid w:val="00C96B2F"/>
    <w:rsid w:val="00CA1190"/>
    <w:rsid w:val="00CA12BA"/>
    <w:rsid w:val="00CA4090"/>
    <w:rsid w:val="00CA7F9C"/>
    <w:rsid w:val="00CC0B11"/>
    <w:rsid w:val="00CC47BA"/>
    <w:rsid w:val="00CC4B59"/>
    <w:rsid w:val="00CC52EC"/>
    <w:rsid w:val="00CC6E50"/>
    <w:rsid w:val="00CD1EBE"/>
    <w:rsid w:val="00CD548E"/>
    <w:rsid w:val="00CD57DA"/>
    <w:rsid w:val="00CD799E"/>
    <w:rsid w:val="00CE063A"/>
    <w:rsid w:val="00CE1ED2"/>
    <w:rsid w:val="00CE292D"/>
    <w:rsid w:val="00CE45B6"/>
    <w:rsid w:val="00CF024B"/>
    <w:rsid w:val="00CF0586"/>
    <w:rsid w:val="00CF22E8"/>
    <w:rsid w:val="00CF7BF1"/>
    <w:rsid w:val="00D02632"/>
    <w:rsid w:val="00D03B68"/>
    <w:rsid w:val="00D06C6B"/>
    <w:rsid w:val="00D07BAF"/>
    <w:rsid w:val="00D12E4F"/>
    <w:rsid w:val="00D136C3"/>
    <w:rsid w:val="00D156F0"/>
    <w:rsid w:val="00D22E38"/>
    <w:rsid w:val="00D23E56"/>
    <w:rsid w:val="00D2623A"/>
    <w:rsid w:val="00D265B4"/>
    <w:rsid w:val="00D31DC8"/>
    <w:rsid w:val="00D35BF0"/>
    <w:rsid w:val="00D40A41"/>
    <w:rsid w:val="00D41A04"/>
    <w:rsid w:val="00D4295E"/>
    <w:rsid w:val="00D4399C"/>
    <w:rsid w:val="00D46F70"/>
    <w:rsid w:val="00D473D3"/>
    <w:rsid w:val="00D47FF3"/>
    <w:rsid w:val="00D504A3"/>
    <w:rsid w:val="00D505B8"/>
    <w:rsid w:val="00D51161"/>
    <w:rsid w:val="00D5155E"/>
    <w:rsid w:val="00D51FBF"/>
    <w:rsid w:val="00D603CB"/>
    <w:rsid w:val="00D609D1"/>
    <w:rsid w:val="00D63EA5"/>
    <w:rsid w:val="00D65068"/>
    <w:rsid w:val="00D660C1"/>
    <w:rsid w:val="00D66FC2"/>
    <w:rsid w:val="00D67C64"/>
    <w:rsid w:val="00D67FAC"/>
    <w:rsid w:val="00D72565"/>
    <w:rsid w:val="00D74729"/>
    <w:rsid w:val="00D824D3"/>
    <w:rsid w:val="00D872A4"/>
    <w:rsid w:val="00D904EF"/>
    <w:rsid w:val="00D911F2"/>
    <w:rsid w:val="00D9163E"/>
    <w:rsid w:val="00D93DDA"/>
    <w:rsid w:val="00D93F38"/>
    <w:rsid w:val="00D942B1"/>
    <w:rsid w:val="00DA12A6"/>
    <w:rsid w:val="00DA19CD"/>
    <w:rsid w:val="00DB09FE"/>
    <w:rsid w:val="00DB1AAB"/>
    <w:rsid w:val="00DC08D2"/>
    <w:rsid w:val="00DC48AE"/>
    <w:rsid w:val="00DC5519"/>
    <w:rsid w:val="00DD0598"/>
    <w:rsid w:val="00DD2632"/>
    <w:rsid w:val="00DD2F34"/>
    <w:rsid w:val="00DD51A5"/>
    <w:rsid w:val="00DD5C87"/>
    <w:rsid w:val="00DD7855"/>
    <w:rsid w:val="00DE0B69"/>
    <w:rsid w:val="00DE23F2"/>
    <w:rsid w:val="00DE3C90"/>
    <w:rsid w:val="00DE3D22"/>
    <w:rsid w:val="00DE4D7D"/>
    <w:rsid w:val="00DE5AC6"/>
    <w:rsid w:val="00DE7E58"/>
    <w:rsid w:val="00DF4A77"/>
    <w:rsid w:val="00DF554A"/>
    <w:rsid w:val="00DF6A22"/>
    <w:rsid w:val="00DF6F79"/>
    <w:rsid w:val="00DF7CA2"/>
    <w:rsid w:val="00E0076A"/>
    <w:rsid w:val="00E11DAD"/>
    <w:rsid w:val="00E122F1"/>
    <w:rsid w:val="00E12ADB"/>
    <w:rsid w:val="00E14FBE"/>
    <w:rsid w:val="00E229C5"/>
    <w:rsid w:val="00E25398"/>
    <w:rsid w:val="00E25B72"/>
    <w:rsid w:val="00E31F2A"/>
    <w:rsid w:val="00E335F9"/>
    <w:rsid w:val="00E33BD7"/>
    <w:rsid w:val="00E45030"/>
    <w:rsid w:val="00E45930"/>
    <w:rsid w:val="00E50E54"/>
    <w:rsid w:val="00E52A46"/>
    <w:rsid w:val="00E5451A"/>
    <w:rsid w:val="00E54E6C"/>
    <w:rsid w:val="00E55A63"/>
    <w:rsid w:val="00E56278"/>
    <w:rsid w:val="00E56327"/>
    <w:rsid w:val="00E617F8"/>
    <w:rsid w:val="00E645EB"/>
    <w:rsid w:val="00E70471"/>
    <w:rsid w:val="00E7157F"/>
    <w:rsid w:val="00E71F38"/>
    <w:rsid w:val="00E7257B"/>
    <w:rsid w:val="00E762B6"/>
    <w:rsid w:val="00E773FC"/>
    <w:rsid w:val="00E808DB"/>
    <w:rsid w:val="00E80F4B"/>
    <w:rsid w:val="00E82BA3"/>
    <w:rsid w:val="00E83C60"/>
    <w:rsid w:val="00E84D17"/>
    <w:rsid w:val="00E90772"/>
    <w:rsid w:val="00E90EDE"/>
    <w:rsid w:val="00E92562"/>
    <w:rsid w:val="00E94DE1"/>
    <w:rsid w:val="00E95C5C"/>
    <w:rsid w:val="00E97A27"/>
    <w:rsid w:val="00E97B5F"/>
    <w:rsid w:val="00EA176A"/>
    <w:rsid w:val="00EA1A0A"/>
    <w:rsid w:val="00EA5DB3"/>
    <w:rsid w:val="00EB1D28"/>
    <w:rsid w:val="00EB1ECE"/>
    <w:rsid w:val="00EB2AA4"/>
    <w:rsid w:val="00EB40E2"/>
    <w:rsid w:val="00EC13E6"/>
    <w:rsid w:val="00EC21EA"/>
    <w:rsid w:val="00EC76D5"/>
    <w:rsid w:val="00EE4274"/>
    <w:rsid w:val="00EE4833"/>
    <w:rsid w:val="00EE53F4"/>
    <w:rsid w:val="00EE667C"/>
    <w:rsid w:val="00EE6DDE"/>
    <w:rsid w:val="00EE6ED3"/>
    <w:rsid w:val="00EE786C"/>
    <w:rsid w:val="00EF0A90"/>
    <w:rsid w:val="00EF26DC"/>
    <w:rsid w:val="00EF28BA"/>
    <w:rsid w:val="00EF2D8F"/>
    <w:rsid w:val="00EF40B4"/>
    <w:rsid w:val="00F00CA9"/>
    <w:rsid w:val="00F03ED2"/>
    <w:rsid w:val="00F04AEE"/>
    <w:rsid w:val="00F0573C"/>
    <w:rsid w:val="00F06A02"/>
    <w:rsid w:val="00F110BA"/>
    <w:rsid w:val="00F11899"/>
    <w:rsid w:val="00F122BB"/>
    <w:rsid w:val="00F140FF"/>
    <w:rsid w:val="00F156F3"/>
    <w:rsid w:val="00F16B5D"/>
    <w:rsid w:val="00F20985"/>
    <w:rsid w:val="00F2191E"/>
    <w:rsid w:val="00F21BA7"/>
    <w:rsid w:val="00F221C4"/>
    <w:rsid w:val="00F243DA"/>
    <w:rsid w:val="00F26121"/>
    <w:rsid w:val="00F3043C"/>
    <w:rsid w:val="00F30C90"/>
    <w:rsid w:val="00F35A29"/>
    <w:rsid w:val="00F41795"/>
    <w:rsid w:val="00F450AF"/>
    <w:rsid w:val="00F47FCC"/>
    <w:rsid w:val="00F50280"/>
    <w:rsid w:val="00F518C4"/>
    <w:rsid w:val="00F541BA"/>
    <w:rsid w:val="00F565A8"/>
    <w:rsid w:val="00F56A92"/>
    <w:rsid w:val="00F57825"/>
    <w:rsid w:val="00F6072C"/>
    <w:rsid w:val="00F61211"/>
    <w:rsid w:val="00F64BAE"/>
    <w:rsid w:val="00F65CEF"/>
    <w:rsid w:val="00F72D5F"/>
    <w:rsid w:val="00F8117A"/>
    <w:rsid w:val="00F81B2F"/>
    <w:rsid w:val="00F85B9C"/>
    <w:rsid w:val="00F87957"/>
    <w:rsid w:val="00F95158"/>
    <w:rsid w:val="00F97203"/>
    <w:rsid w:val="00F972A2"/>
    <w:rsid w:val="00F97B52"/>
    <w:rsid w:val="00FA0597"/>
    <w:rsid w:val="00FA1922"/>
    <w:rsid w:val="00FA2F9E"/>
    <w:rsid w:val="00FA321D"/>
    <w:rsid w:val="00FA36B8"/>
    <w:rsid w:val="00FA4A0C"/>
    <w:rsid w:val="00FA715E"/>
    <w:rsid w:val="00FB0F22"/>
    <w:rsid w:val="00FB3D83"/>
    <w:rsid w:val="00FC0473"/>
    <w:rsid w:val="00FC1BEE"/>
    <w:rsid w:val="00FC1F67"/>
    <w:rsid w:val="00FC43CA"/>
    <w:rsid w:val="00FC48AB"/>
    <w:rsid w:val="00FC60E2"/>
    <w:rsid w:val="00FC7783"/>
    <w:rsid w:val="00FD01B0"/>
    <w:rsid w:val="00FD14F3"/>
    <w:rsid w:val="00FD5083"/>
    <w:rsid w:val="00FD63B7"/>
    <w:rsid w:val="00FD7691"/>
    <w:rsid w:val="00FE00A1"/>
    <w:rsid w:val="00FE076E"/>
    <w:rsid w:val="00FE2F6B"/>
    <w:rsid w:val="00FE6677"/>
    <w:rsid w:val="00FE712E"/>
    <w:rsid w:val="00FF18D1"/>
    <w:rsid w:val="00FF3ABE"/>
    <w:rsid w:val="00FF5A97"/>
    <w:rsid w:val="00FF7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9">
    <w:name w:val="Table Normal9"/>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name w:val="a"/>
    <w:basedOn w:val="TableNormal10"/>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a0">
    <w:name w:val="a0"/>
    <w:basedOn w:val="TableNormal10"/>
    <w:pPr>
      <w:spacing w:after="0" w:line="240" w:lineRule="auto"/>
    </w:pPr>
    <w:tblPr>
      <w:tblStyleRowBandSize w:val="1"/>
      <w:tblStyleColBandSize w:val="1"/>
      <w:tblCellMar>
        <w:left w:w="255" w:type="dxa"/>
        <w:right w:w="108" w:type="dxa"/>
      </w:tblCellMar>
    </w:tblPr>
  </w:style>
  <w:style w:type="table" w:customStyle="1" w:styleId="a1">
    <w:name w:val="a1"/>
    <w:basedOn w:val="TableNormal10"/>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a2">
    <w:name w:val="a2"/>
    <w:basedOn w:val="TableNormal8"/>
    <w:pPr>
      <w:spacing w:after="0" w:line="240" w:lineRule="auto"/>
    </w:pPr>
    <w:tblPr>
      <w:tblStyleRowBandSize w:val="1"/>
      <w:tblStyleColBandSize w:val="1"/>
      <w:tblCellMar>
        <w:left w:w="255" w:type="dxa"/>
        <w:right w:w="108" w:type="dxa"/>
      </w:tblCellMar>
    </w:tblPr>
  </w:style>
  <w:style w:type="table" w:customStyle="1" w:styleId="a3">
    <w:name w:val="a3"/>
    <w:basedOn w:val="TableNormal7"/>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a4">
    <w:name w:val="a4"/>
    <w:basedOn w:val="TableNormal6"/>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a5">
    <w:name w:val="a5"/>
    <w:basedOn w:val="TableNormal5"/>
    <w:pPr>
      <w:spacing w:after="0" w:line="240" w:lineRule="auto"/>
    </w:pPr>
    <w:tblPr>
      <w:tblStyleRowBandSize w:val="1"/>
      <w:tblStyleColBandSize w:val="1"/>
      <w:tblCellMar>
        <w:left w:w="255" w:type="dxa"/>
        <w:right w:w="108" w:type="dxa"/>
      </w:tblCellMar>
    </w:tblPr>
  </w:style>
  <w:style w:type="table" w:customStyle="1" w:styleId="a6">
    <w:name w:val="a6"/>
    <w:basedOn w:val="TableNormal4"/>
    <w:pPr>
      <w:spacing w:after="0" w:line="240" w:lineRule="auto"/>
    </w:pPr>
    <w:tblPr>
      <w:tblStyleRowBandSize w:val="1"/>
      <w:tblStyleColBandSize w:val="1"/>
      <w:tblCellMar>
        <w:left w:w="255" w:type="dxa"/>
        <w:right w:w="108" w:type="dxa"/>
      </w:tblCellMar>
    </w:tblPr>
  </w:style>
  <w:style w:type="table" w:customStyle="1" w:styleId="a7">
    <w:name w:val="a7"/>
    <w:basedOn w:val="TableNormal3"/>
    <w:pPr>
      <w:spacing w:after="0" w:line="240" w:lineRule="auto"/>
    </w:pPr>
    <w:tblPr>
      <w:tblStyleRowBandSize w:val="1"/>
      <w:tblStyleColBandSize w:val="1"/>
      <w:tblCellMar>
        <w:left w:w="255" w:type="dxa"/>
        <w:right w:w="108" w:type="dxa"/>
      </w:tblCellMar>
    </w:tblPr>
  </w:style>
  <w:style w:type="table" w:customStyle="1" w:styleId="a8">
    <w:name w:val="a8"/>
    <w:basedOn w:val="TableNormal3"/>
    <w:pPr>
      <w:spacing w:after="0" w:line="240" w:lineRule="auto"/>
    </w:pPr>
    <w:tblPr>
      <w:tblStyleRowBandSize w:val="1"/>
      <w:tblStyleColBandSize w:val="1"/>
      <w:tblCellMar>
        <w:left w:w="255" w:type="dxa"/>
        <w:right w:w="108" w:type="dxa"/>
      </w:tblCellMar>
    </w:tblPr>
  </w:style>
  <w:style w:type="paragraph" w:styleId="Tekstprzypisudolnego">
    <w:name w:val="footnote text"/>
    <w:basedOn w:val="Normalny"/>
    <w:link w:val="TekstprzypisudolnegoZnak"/>
    <w:uiPriority w:val="99"/>
    <w:semiHidden/>
    <w:unhideWhenUsed/>
    <w:rsid w:val="00D511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1161"/>
    <w:rPr>
      <w:sz w:val="20"/>
      <w:szCs w:val="20"/>
    </w:rPr>
  </w:style>
  <w:style w:type="character" w:styleId="Odwoanieprzypisudolnego">
    <w:name w:val="footnote reference"/>
    <w:basedOn w:val="Domylnaczcionkaakapitu"/>
    <w:uiPriority w:val="99"/>
    <w:semiHidden/>
    <w:unhideWhenUsed/>
    <w:rsid w:val="00D51161"/>
    <w:rPr>
      <w:vertAlign w:val="superscript"/>
    </w:rPr>
  </w:style>
  <w:style w:type="paragraph" w:styleId="Poprawka">
    <w:name w:val="Revision"/>
    <w:hidden/>
    <w:uiPriority w:val="99"/>
    <w:semiHidden/>
    <w:rsid w:val="00770099"/>
    <w:pPr>
      <w:spacing w:after="0" w:line="240" w:lineRule="auto"/>
    </w:pPr>
  </w:style>
  <w:style w:type="paragraph" w:styleId="Tekstprzypisukocowego">
    <w:name w:val="endnote text"/>
    <w:basedOn w:val="Normalny"/>
    <w:link w:val="TekstprzypisukocowegoZnak"/>
    <w:uiPriority w:val="99"/>
    <w:semiHidden/>
    <w:unhideWhenUsed/>
    <w:rsid w:val="00556C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6C60"/>
    <w:rPr>
      <w:sz w:val="20"/>
      <w:szCs w:val="20"/>
    </w:rPr>
  </w:style>
  <w:style w:type="character" w:styleId="Odwoanieprzypisukocowego">
    <w:name w:val="endnote reference"/>
    <w:basedOn w:val="Domylnaczcionkaakapitu"/>
    <w:uiPriority w:val="99"/>
    <w:semiHidden/>
    <w:unhideWhenUsed/>
    <w:rsid w:val="00556C60"/>
    <w:rPr>
      <w:vertAlign w:val="superscript"/>
    </w:rPr>
  </w:style>
  <w:style w:type="character" w:styleId="Uwydatnienie">
    <w:name w:val="Emphasis"/>
    <w:basedOn w:val="Domylnaczcionkaakapitu"/>
    <w:uiPriority w:val="20"/>
    <w:qFormat/>
    <w:rsid w:val="00A75C3B"/>
    <w:rPr>
      <w:i/>
      <w:iCs/>
    </w:rPr>
  </w:style>
  <w:style w:type="character" w:customStyle="1" w:styleId="newspageshort">
    <w:name w:val="newspageshort"/>
    <w:basedOn w:val="Domylnaczcionkaakapitu"/>
    <w:rsid w:val="00556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9">
    <w:name w:val="Table Normal9"/>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name w:val="a"/>
    <w:basedOn w:val="TableNormal10"/>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a0">
    <w:name w:val="a0"/>
    <w:basedOn w:val="TableNormal10"/>
    <w:pPr>
      <w:spacing w:after="0" w:line="240" w:lineRule="auto"/>
    </w:pPr>
    <w:tblPr>
      <w:tblStyleRowBandSize w:val="1"/>
      <w:tblStyleColBandSize w:val="1"/>
      <w:tblCellMar>
        <w:left w:w="255" w:type="dxa"/>
        <w:right w:w="108" w:type="dxa"/>
      </w:tblCellMar>
    </w:tblPr>
  </w:style>
  <w:style w:type="table" w:customStyle="1" w:styleId="a1">
    <w:name w:val="a1"/>
    <w:basedOn w:val="TableNormal10"/>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a2">
    <w:name w:val="a2"/>
    <w:basedOn w:val="TableNormal8"/>
    <w:pPr>
      <w:spacing w:after="0" w:line="240" w:lineRule="auto"/>
    </w:pPr>
    <w:tblPr>
      <w:tblStyleRowBandSize w:val="1"/>
      <w:tblStyleColBandSize w:val="1"/>
      <w:tblCellMar>
        <w:left w:w="255" w:type="dxa"/>
        <w:right w:w="108" w:type="dxa"/>
      </w:tblCellMar>
    </w:tblPr>
  </w:style>
  <w:style w:type="table" w:customStyle="1" w:styleId="a3">
    <w:name w:val="a3"/>
    <w:basedOn w:val="TableNormal7"/>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a4">
    <w:name w:val="a4"/>
    <w:basedOn w:val="TableNormal6"/>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a5">
    <w:name w:val="a5"/>
    <w:basedOn w:val="TableNormal5"/>
    <w:pPr>
      <w:spacing w:after="0" w:line="240" w:lineRule="auto"/>
    </w:pPr>
    <w:tblPr>
      <w:tblStyleRowBandSize w:val="1"/>
      <w:tblStyleColBandSize w:val="1"/>
      <w:tblCellMar>
        <w:left w:w="255" w:type="dxa"/>
        <w:right w:w="108" w:type="dxa"/>
      </w:tblCellMar>
    </w:tblPr>
  </w:style>
  <w:style w:type="table" w:customStyle="1" w:styleId="a6">
    <w:name w:val="a6"/>
    <w:basedOn w:val="TableNormal4"/>
    <w:pPr>
      <w:spacing w:after="0" w:line="240" w:lineRule="auto"/>
    </w:pPr>
    <w:tblPr>
      <w:tblStyleRowBandSize w:val="1"/>
      <w:tblStyleColBandSize w:val="1"/>
      <w:tblCellMar>
        <w:left w:w="255" w:type="dxa"/>
        <w:right w:w="108" w:type="dxa"/>
      </w:tblCellMar>
    </w:tblPr>
  </w:style>
  <w:style w:type="table" w:customStyle="1" w:styleId="a7">
    <w:name w:val="a7"/>
    <w:basedOn w:val="TableNormal3"/>
    <w:pPr>
      <w:spacing w:after="0" w:line="240" w:lineRule="auto"/>
    </w:pPr>
    <w:tblPr>
      <w:tblStyleRowBandSize w:val="1"/>
      <w:tblStyleColBandSize w:val="1"/>
      <w:tblCellMar>
        <w:left w:w="255" w:type="dxa"/>
        <w:right w:w="108" w:type="dxa"/>
      </w:tblCellMar>
    </w:tblPr>
  </w:style>
  <w:style w:type="table" w:customStyle="1" w:styleId="a8">
    <w:name w:val="a8"/>
    <w:basedOn w:val="TableNormal3"/>
    <w:pPr>
      <w:spacing w:after="0" w:line="240" w:lineRule="auto"/>
    </w:pPr>
    <w:tblPr>
      <w:tblStyleRowBandSize w:val="1"/>
      <w:tblStyleColBandSize w:val="1"/>
      <w:tblCellMar>
        <w:left w:w="255" w:type="dxa"/>
        <w:right w:w="108" w:type="dxa"/>
      </w:tblCellMar>
    </w:tblPr>
  </w:style>
  <w:style w:type="paragraph" w:styleId="Tekstprzypisudolnego">
    <w:name w:val="footnote text"/>
    <w:basedOn w:val="Normalny"/>
    <w:link w:val="TekstprzypisudolnegoZnak"/>
    <w:uiPriority w:val="99"/>
    <w:semiHidden/>
    <w:unhideWhenUsed/>
    <w:rsid w:val="00D511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1161"/>
    <w:rPr>
      <w:sz w:val="20"/>
      <w:szCs w:val="20"/>
    </w:rPr>
  </w:style>
  <w:style w:type="character" w:styleId="Odwoanieprzypisudolnego">
    <w:name w:val="footnote reference"/>
    <w:basedOn w:val="Domylnaczcionkaakapitu"/>
    <w:uiPriority w:val="99"/>
    <w:semiHidden/>
    <w:unhideWhenUsed/>
    <w:rsid w:val="00D51161"/>
    <w:rPr>
      <w:vertAlign w:val="superscript"/>
    </w:rPr>
  </w:style>
  <w:style w:type="paragraph" w:styleId="Poprawka">
    <w:name w:val="Revision"/>
    <w:hidden/>
    <w:uiPriority w:val="99"/>
    <w:semiHidden/>
    <w:rsid w:val="00770099"/>
    <w:pPr>
      <w:spacing w:after="0" w:line="240" w:lineRule="auto"/>
    </w:pPr>
  </w:style>
  <w:style w:type="paragraph" w:styleId="Tekstprzypisukocowego">
    <w:name w:val="endnote text"/>
    <w:basedOn w:val="Normalny"/>
    <w:link w:val="TekstprzypisukocowegoZnak"/>
    <w:uiPriority w:val="99"/>
    <w:semiHidden/>
    <w:unhideWhenUsed/>
    <w:rsid w:val="00556C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6C60"/>
    <w:rPr>
      <w:sz w:val="20"/>
      <w:szCs w:val="20"/>
    </w:rPr>
  </w:style>
  <w:style w:type="character" w:styleId="Odwoanieprzypisukocowego">
    <w:name w:val="endnote reference"/>
    <w:basedOn w:val="Domylnaczcionkaakapitu"/>
    <w:uiPriority w:val="99"/>
    <w:semiHidden/>
    <w:unhideWhenUsed/>
    <w:rsid w:val="00556C60"/>
    <w:rPr>
      <w:vertAlign w:val="superscript"/>
    </w:rPr>
  </w:style>
  <w:style w:type="character" w:styleId="Uwydatnienie">
    <w:name w:val="Emphasis"/>
    <w:basedOn w:val="Domylnaczcionkaakapitu"/>
    <w:uiPriority w:val="20"/>
    <w:qFormat/>
    <w:rsid w:val="00A75C3B"/>
    <w:rPr>
      <w:i/>
      <w:iCs/>
    </w:rPr>
  </w:style>
  <w:style w:type="character" w:customStyle="1" w:styleId="newspageshort">
    <w:name w:val="newspageshort"/>
    <w:basedOn w:val="Domylnaczcionkaakapitu"/>
    <w:rsid w:val="00556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chal.wrzosek@budimex.pl"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edia.budimex.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o23bhZiq9gIJc2H6Ifib6JsTyw==">AMUW2mUxnMf2l6g7cEe03YceFHGW7RsJmkmY4cBNkhj7hAmSFzS6Wj4IC0z4guUoq5kFp31sT6fnmUdqVOmx+z9fhSaoZCbggrsr/yX+1ow2mQww0y5B8+pelFlr/b6OreRGoMprXVru3gV4FUDPM7N0q9217hTYGA==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3F6BA3-91CA-4D62-A83C-89C4C1420387}">
  <ds:schemaRefs>
    <ds:schemaRef ds:uri="http://schemas.openxmlformats.org/officeDocument/2006/bibliography"/>
  </ds:schemaRefs>
</ds:datastoreItem>
</file>

<file path=docMetadata/LabelInfo.xml><?xml version="1.0" encoding="utf-8"?>
<clbl:labelList xmlns:clbl="http://schemas.microsoft.com/office/2020/mipLabelMetadata">
  <clbl:label id="{b05923b3-4e86-4aa9-9018-d7e3c1e08536}" enabled="1" method="Standard" siteId="{66a13ed4-5c17-4ee8-ba28-778da8cdd7d4}" contentBits="0" removed="0"/>
</clbl:labelList>
</file>

<file path=docProps/app.xml><?xml version="1.0" encoding="utf-8"?>
<Properties xmlns="http://schemas.openxmlformats.org/officeDocument/2006/extended-properties" xmlns:vt="http://schemas.openxmlformats.org/officeDocument/2006/docPropsVTypes">
  <Template>Normal</Template>
  <TotalTime>26</TotalTime>
  <Pages>7</Pages>
  <Words>1993</Words>
  <Characters>11961</Characters>
  <Application>Microsoft Office Word</Application>
  <DocSecurity>0</DocSecurity>
  <Lines>99</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Wójcik</dc:creator>
  <cp:lastModifiedBy>Zuzanna Karasiewicz</cp:lastModifiedBy>
  <cp:revision>4</cp:revision>
  <cp:lastPrinted>2023-04-18T10:50:00Z</cp:lastPrinted>
  <dcterms:created xsi:type="dcterms:W3CDTF">2024-05-09T12:27:00Z</dcterms:created>
  <dcterms:modified xsi:type="dcterms:W3CDTF">2024-05-13T08:39:00Z</dcterms:modified>
</cp:coreProperties>
</file>