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20358BFF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D46F70">
        <w:rPr>
          <w:rFonts w:ascii="Tahoma" w:eastAsia="Tahoma" w:hAnsi="Tahoma" w:cs="Tahoma"/>
          <w:color w:val="808080"/>
          <w:sz w:val="20"/>
          <w:szCs w:val="20"/>
        </w:rPr>
        <w:t xml:space="preserve">28 kwietnia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B84905">
        <w:rPr>
          <w:rFonts w:ascii="Tahoma" w:eastAsia="Tahoma" w:hAnsi="Tahoma" w:cs="Tahoma"/>
          <w:color w:val="808080"/>
          <w:sz w:val="20"/>
          <w:szCs w:val="20"/>
          <w:highlight w:val="white"/>
        </w:rPr>
        <w:t>2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:rsidRPr="00775CAB" w14:paraId="18FE4A91" w14:textId="77777777">
        <w:tc>
          <w:tcPr>
            <w:tcW w:w="7159" w:type="dxa"/>
          </w:tcPr>
          <w:p w14:paraId="50DAD41A" w14:textId="5A044020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C02D68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C02D68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30E340E0" w:rsidR="009A2A41" w:rsidRPr="00D51FBF" w:rsidRDefault="009A2A41" w:rsidP="009A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4151F3">
              <w:rPr>
                <w:rFonts w:ascii="Tahoma" w:eastAsia="Tahoma" w:hAnsi="Tahoma" w:cs="Tahoma"/>
                <w:b/>
                <w:color w:val="FFC000"/>
              </w:rPr>
              <w:t>I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kwartał 2022 roku</w:t>
            </w:r>
          </w:p>
          <w:p w14:paraId="2D0A5BC2" w14:textId="77777777" w:rsidR="00A9414D" w:rsidRPr="00B84905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09643EB1" w:rsidR="009A2A41" w:rsidRPr="00D265B4" w:rsidRDefault="009A2A41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 kwartale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przychody ze sprzedaży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Grup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Budimex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wyniosły 1 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599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 (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+28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BD0F2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 osiągnął poziom 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56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</w:p>
          <w:p w14:paraId="0FA5051D" w14:textId="1B5612EE" w:rsidR="000C0857" w:rsidRPr="000C0857" w:rsidRDefault="009A2A41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operacyjna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Grupy 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była niższa niż w analogicznym okresie roku poprzedniego i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osiągnęła poziom 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3,6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(w porównaniu do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5,0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 kwartale 202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 przy rentowności segmentu budowlanego wynoszącej 3,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</w:t>
            </w:r>
          </w:p>
          <w:p w14:paraId="1D88B709" w14:textId="22707A77" w:rsidR="004151F3" w:rsidRDefault="00B60995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brutto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Grupy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wyniosła 3,9%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 porównaniu do 4,4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</w:t>
            </w:r>
            <w:r w:rsidR="00AC4F30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kwartale 2021 roku</w:t>
            </w:r>
          </w:p>
          <w:p w14:paraId="1CF9C9E7" w14:textId="77A8B084" w:rsidR="009A2A41" w:rsidRPr="00775CAB" w:rsidRDefault="009A2A41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Pozyskanie nowych kontraktów o wartości ok. 1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,4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miliarda złotych pozwoliło utrzymać portfel zamówień na wysokim poziomie </w:t>
            </w:r>
            <w:r w:rsidR="00A01C6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13,2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miliarda złotych</w:t>
            </w:r>
          </w:p>
          <w:p w14:paraId="35C368AD" w14:textId="1F8E0E91" w:rsidR="009A2A41" w:rsidRPr="008230DA" w:rsidRDefault="009A2A41" w:rsidP="008230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Wysoka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pozycja gotówkowa netto </w:t>
            </w:r>
            <w:r w:rsidR="00E5627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sięgająca 3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</w:t>
            </w:r>
            <w:r w:rsidR="00E5627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ów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8230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  <w:t xml:space="preserve">(z uwzględnieniem środków pozostających </w:t>
            </w:r>
            <w:r w:rsidR="008230DA" w:rsidRPr="008230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 tytułu sprzedaży Budimex Nieruchomości) </w:t>
            </w:r>
            <w:r w:rsidR="00A01C61" w:rsidRPr="008230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pozwoliła zarekomendować wypłatę pozostającej części dywidendy w wysokości 23,47 złotych brutto na akcję.</w:t>
            </w:r>
            <w:r w:rsidRPr="008230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22B5F062" w14:textId="184E693C" w:rsidR="00775CAB" w:rsidRPr="007659C0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</w:p>
          <w:p w14:paraId="3C9D00EF" w14:textId="77777777" w:rsidR="00C32C83" w:rsidRPr="007C69AF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  <w:highlight w:val="yellow"/>
              </w:rPr>
            </w:pPr>
          </w:p>
          <w:p w14:paraId="428679F8" w14:textId="1FCB84D9" w:rsidR="004C1457" w:rsidRDefault="00FE712E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Pierwszy kwartał 2022 roku był trudnym okresem dla</w:t>
            </w:r>
            <w:r w:rsidR="00C066B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Grupy Budimex, rynku budowlanego i całego świata. </w:t>
            </w:r>
            <w:r w:rsidR="00661489" w:rsidRPr="00392AC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5DB446FB" w14:textId="77777777" w:rsidR="00C066B6" w:rsidRDefault="00C066B6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A152B21" w14:textId="36746232" w:rsidR="00C47A3A" w:rsidRDefault="00FE712E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Wybuch wojny w Ukrainie w istotny sposób wpłynął na większość gałęzi naszej gospodarki. Budownictwo to jeden z sektorów, które najmocniej odczuły konsekwencje konfliktu za naszą wschodnią granicą. 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Najważniejsze </w:t>
            </w:r>
            <w:r w:rsidR="002560E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czynniki wpływające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nasz sektor to drastyczny wzrost cen materiałów, w szczególności stali oraz ropy, a także odpływ pracowników z Ukrainy</w:t>
            </w:r>
            <w:r w:rsidR="00D66FC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61886233" w14:textId="77777777" w:rsidR="00C47A3A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7AB6023" w14:textId="292717E4" w:rsidR="007143D6" w:rsidRDefault="00C4308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Pomimo </w:t>
            </w:r>
            <w:r w:rsidR="00FE71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skrajnie </w:t>
            </w:r>
            <w:r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trudnych warunków rynkowych</w:t>
            </w:r>
            <w:r w:rsidR="00F03E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zysk operacyjny na poziomie 57 milionów złotych (w porównaniu do 63 milionów złotych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pierwszym kwartale 2021 roku) notując przy tym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spadek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z </w:t>
            </w:r>
            <w:r w:rsidR="00E617F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5,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0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do 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="005B155B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 w:rsidR="00452E75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D708C" w:rsidRPr="0094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5030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Niższa rentowność to przede wszystkim efekt pogorszenia wyniku w części budowlanej. W</w:t>
            </w:r>
            <w:r w:rsidR="00FA32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iększość prac realizowanych w pierwszym kwartale 2022 roku dotyczyła </w:t>
            </w:r>
            <w:r w:rsidR="00FA32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kontraktów, gdzie 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część materiału </w:t>
            </w:r>
            <w:r w:rsidR="00E562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już na budowach</w:t>
            </w:r>
            <w:r w:rsidR="00BD0F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</w:t>
            </w:r>
            <w:r w:rsidR="00FA32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ceny kluczowych asortymentów 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usług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kolejne miesiące </w:t>
            </w:r>
            <w:r w:rsidR="00E562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zostały</w:t>
            </w:r>
            <w:r w:rsidR="000B0FF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zakontraktowane.</w:t>
            </w:r>
            <w:r w:rsidR="00FA32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620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Niemniej jednak </w:t>
            </w:r>
            <w:r w:rsidR="00C47A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obserwujemy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że drastyczny wzrost cen materiałów, w tym stali i ropy, </w:t>
            </w:r>
            <w:r w:rsidR="00C47A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wpłynął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rentowność </w:t>
            </w:r>
            <w:r w:rsidR="00CE06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większości 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kontraktów, </w:t>
            </w:r>
            <w:r w:rsidR="00CE06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szczególności tych, 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które </w:t>
            </w:r>
            <w:r w:rsidR="00CE06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aktualnie</w:t>
            </w:r>
            <w:r w:rsidR="008A32B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znajdują się w początkowej fazie realizacji</w:t>
            </w:r>
            <w:r w:rsidR="00CE063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4F2359A2" w14:textId="77777777" w:rsidR="005030B7" w:rsidRDefault="005030B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1BAC17" w14:textId="48BB4374" w:rsidR="00DF6A22" w:rsidRPr="009423FC" w:rsidRDefault="00DF6A2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Grupy Budimex wyniósł 63 miliony złotych przy rentowności 3,9%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porównaniu do 4,4% w pierwszym kwartale roku ubiegłego. Rentowność na poziomie zysku brutto wspierana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finansowej, co jest efektem wzrostu średniego poziomu oprocentowania gotówki lokowanej przez Grupę Budimex. </w:t>
            </w:r>
          </w:p>
          <w:p w14:paraId="47448682" w14:textId="431E64D6" w:rsidR="00EF28BA" w:rsidRPr="007C69AF" w:rsidRDefault="0012179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CE063A">
              <w:rPr>
                <w:rFonts w:ascii="Tahoma" w:eastAsia="Tahoma" w:hAnsi="Tahoma" w:cs="Tahoma"/>
                <w:noProof/>
                <w:color w:val="808080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709440" behindDoc="0" locked="0" layoutInCell="1" allowOverlap="1" wp14:anchorId="37B179CD" wp14:editId="2C9F0D7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208280</wp:posOffset>
                  </wp:positionV>
                  <wp:extent cx="3793490" cy="242062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490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F3" w:rsidRPr="007C69AF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123EC875" w14:textId="74FDAE8E" w:rsidR="0023777F" w:rsidRPr="007C69AF" w:rsidRDefault="0023777F" w:rsidP="00CE063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3DAEFDB2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A3126A7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C87EEB9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36113D9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2EC2AA7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27AD371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0401478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919056E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A599A87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E72E409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4D8465E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34C4E9D" w14:textId="77777777" w:rsidR="004856A1" w:rsidRDefault="004856A1" w:rsidP="00BF116E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6892A2B" w14:textId="681045A2" w:rsidR="00BF116E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Odnotowaliśmy 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znaczący </w:t>
            </w:r>
            <w:r w:rsidR="00E617F8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przychodów ze sprzedaży Grupy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głównie dzięki większej skali realizowanej sprzedaży w części budowlanej. </w:t>
            </w:r>
            <w:r w:rsidR="00C21BF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części usługowej przychody były zbliżone do poziomu pierwszego kwartału 2021 roku. 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2E094A7D" w14:textId="0999AC36" w:rsidR="00D16F4F" w:rsidRDefault="007143D6" w:rsidP="00C066B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  <w:r w:rsidRPr="007C69AF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br/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Produkcja budowlano-montażowa 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pierwszym kwartale 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E122F1" w:rsidRPr="00426430">
              <w:rPr>
                <w:rFonts w:ascii="Tahoma" w:eastAsia="Tahoma" w:hAnsi="Tahoma" w:cs="Tahoma"/>
                <w:color w:val="808080"/>
                <w:sz w:val="18"/>
                <w:szCs w:val="18"/>
              </w:rPr>
              <w:t>(w cenach bieżących)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wzrosła rok do roku o </w:t>
            </w:r>
            <w:r w:rsidR="00E122F1" w:rsidRPr="003E784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35,1% 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 poziomu 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17,3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</w:t>
            </w:r>
            <w:r w:rsidR="00E12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122F1" w:rsidRPr="003E784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23,4</w:t>
            </w:r>
            <w:r w:rsidR="00E122F1" w:rsidRPr="00EF26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122F1" w:rsidRPr="0042643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miliarda złotych</w:t>
            </w:r>
            <w:r w:rsidR="00E122F1" w:rsidRPr="003E784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 W segmencie budynków produkcja</w:t>
            </w:r>
            <w:r w:rsidR="00E122F1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sprzedana wzrosła o </w:t>
            </w:r>
            <w:r w:rsidR="00E122F1" w:rsidRPr="003E784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45,3% </w:t>
            </w:r>
            <w:r w:rsidR="00E12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natomiast w</w:t>
            </w:r>
            <w:r w:rsidR="00E122F1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obszarze infrastrukturalnym wzros</w:t>
            </w:r>
            <w:r w:rsidR="00E12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 wyniósł</w:t>
            </w:r>
            <w:r w:rsidR="00E122F1" w:rsidRPr="0042643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12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aż 23%</w:t>
            </w:r>
            <w:r w:rsidR="0012179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5CA62367" w14:textId="77777777" w:rsidR="00D16F4F" w:rsidRDefault="00D16F4F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34A3A3EC" w14:textId="77777777" w:rsidR="00EF47AF" w:rsidRDefault="00EF47AF" w:rsidP="00EA6C3B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00BB3FF" w14:textId="6813F654" w:rsidR="00E122F1" w:rsidRDefault="00E122F1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60DDEAFA" w14:textId="3C8C5954" w:rsidR="00C066B6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6F4BC38E" w14:textId="489A08D6" w:rsidR="00C066B6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851C319" w14:textId="53B66940" w:rsidR="00C066B6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7F0ADEB" w14:textId="074CD8E8" w:rsidR="00C066B6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2A29E92A" w14:textId="24E2C288" w:rsidR="00C066B6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2A4D9FD1" w14:textId="77777777" w:rsidR="00C066B6" w:rsidRPr="007C69AF" w:rsidRDefault="00C066B6" w:rsidP="00EA6C3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65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1276"/>
              <w:gridCol w:w="1276"/>
              <w:gridCol w:w="1559"/>
            </w:tblGrid>
            <w:tr w:rsidR="00E122F1" w:rsidRPr="00E122F1" w14:paraId="2B51F8E4" w14:textId="77777777" w:rsidTr="00EA6C3B">
              <w:trPr>
                <w:trHeight w:val="349"/>
              </w:trPr>
              <w:tc>
                <w:tcPr>
                  <w:tcW w:w="2459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1A6F1834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3003DDC" w14:textId="77777777" w:rsidR="00E122F1" w:rsidRPr="00E122F1" w:rsidRDefault="00E122F1" w:rsidP="00E122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E122F1">
                    <w:rPr>
                      <w:rFonts w:ascii="Tahoma" w:eastAsia="Times New Roman" w:hAnsi="Tahoma" w:cs="Tahoma"/>
                      <w:color w:val="000000"/>
                    </w:rPr>
                    <w:t xml:space="preserve"> (mld. zł)</w:t>
                  </w:r>
                </w:p>
              </w:tc>
            </w:tr>
            <w:tr w:rsidR="00E122F1" w:rsidRPr="00E122F1" w14:paraId="116805B3" w14:textId="77777777" w:rsidTr="00EA6C3B">
              <w:trPr>
                <w:trHeight w:val="292"/>
              </w:trPr>
              <w:tc>
                <w:tcPr>
                  <w:tcW w:w="2459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2C5FFC0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0F10FB8" w14:textId="77777777" w:rsidR="00E122F1" w:rsidRPr="00E122F1" w:rsidRDefault="00E122F1" w:rsidP="00E122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000000"/>
                    </w:rPr>
                    <w:t>1 kw. 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AF4A458" w14:textId="77777777" w:rsidR="00E122F1" w:rsidRPr="00E122F1" w:rsidRDefault="00E122F1" w:rsidP="00E122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000000"/>
                    </w:rPr>
                    <w:t>1 kw. 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6518BAB" w14:textId="77777777" w:rsidR="00E122F1" w:rsidRPr="00E122F1" w:rsidRDefault="00E122F1" w:rsidP="00E122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E122F1" w:rsidRPr="00E122F1" w14:paraId="168E86D8" w14:textId="77777777" w:rsidTr="00EA6C3B">
              <w:trPr>
                <w:trHeight w:val="382"/>
              </w:trPr>
              <w:tc>
                <w:tcPr>
                  <w:tcW w:w="2459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5EAF710D" w14:textId="677048D0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Produkcja sprzedana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0B90F570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3248AE0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3BF08E43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35,1%</w:t>
                  </w:r>
                </w:p>
              </w:tc>
            </w:tr>
            <w:tr w:rsidR="00E122F1" w:rsidRPr="00E122F1" w14:paraId="424FD890" w14:textId="77777777" w:rsidTr="00EA6C3B">
              <w:trPr>
                <w:trHeight w:val="405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D7D286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B45884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FB480EB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C27D5A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45,3%</w:t>
                  </w:r>
                </w:p>
              </w:tc>
            </w:tr>
            <w:tr w:rsidR="00E122F1" w:rsidRPr="00E122F1" w14:paraId="3F622D97" w14:textId="77777777" w:rsidTr="00EA6C3B">
              <w:trPr>
                <w:trHeight w:val="149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33D140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EF3BEC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58,6%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6DAA501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54,5%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F8C9CB" w14:textId="77777777" w:rsidR="00E122F1" w:rsidRPr="00E122F1" w:rsidRDefault="00E122F1" w:rsidP="00E122F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4,1% pp.</w:t>
                  </w:r>
                </w:p>
              </w:tc>
            </w:tr>
            <w:tr w:rsidR="00E122F1" w:rsidRPr="00E122F1" w14:paraId="0F7E0515" w14:textId="77777777" w:rsidTr="00EA6C3B">
              <w:trPr>
                <w:trHeight w:val="405"/>
              </w:trPr>
              <w:tc>
                <w:tcPr>
                  <w:tcW w:w="245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7BC037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89C6F7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2A2A20F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2FF95C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23,0%</w:t>
                  </w:r>
                </w:p>
              </w:tc>
            </w:tr>
            <w:tr w:rsidR="00E122F1" w:rsidRPr="00E122F1" w14:paraId="577720DF" w14:textId="77777777" w:rsidTr="00EA6C3B">
              <w:trPr>
                <w:trHeight w:val="330"/>
              </w:trPr>
              <w:tc>
                <w:tcPr>
                  <w:tcW w:w="24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095B51E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3A522C78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D80D912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31493CE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23,3%</w:t>
                  </w:r>
                </w:p>
              </w:tc>
            </w:tr>
            <w:tr w:rsidR="00E122F1" w:rsidRPr="00E122F1" w14:paraId="4CE182AB" w14:textId="77777777" w:rsidTr="00EA6C3B">
              <w:trPr>
                <w:trHeight w:val="330"/>
              </w:trPr>
              <w:tc>
                <w:tcPr>
                  <w:tcW w:w="24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034FF74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C38C2F4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89C053A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64813BD7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122F1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20,6%</w:t>
                  </w:r>
                </w:p>
              </w:tc>
            </w:tr>
            <w:tr w:rsidR="00E122F1" w:rsidRPr="00E122F1" w14:paraId="3FF02C41" w14:textId="77777777" w:rsidTr="00EA6C3B">
              <w:trPr>
                <w:trHeight w:val="285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25EB29E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F6F85F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41,4%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EA304FD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45,5%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F0362BF" w14:textId="77777777" w:rsidR="00E122F1" w:rsidRPr="00E122F1" w:rsidRDefault="00E122F1" w:rsidP="00E122F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122F1">
                    <w:rPr>
                      <w:rFonts w:ascii="Tahoma" w:eastAsia="Times New Roman" w:hAnsi="Tahoma" w:cs="Tahoma"/>
                      <w:color w:val="404040"/>
                    </w:rPr>
                    <w:t>-4,1% pp.</w:t>
                  </w:r>
                </w:p>
              </w:tc>
            </w:tr>
          </w:tbl>
          <w:p w14:paraId="3E85F3A8" w14:textId="77777777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21B0869" w14:textId="68EB877E" w:rsidR="005B039B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przedaż segmentu budowlanego Grupy </w:t>
            </w:r>
            <w:r w:rsidR="00775CAB" w:rsidRPr="00D03B6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 w:rsidRPr="00D03B6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wyniosła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21BF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pierwszym kwartale 2022 roku 1 436</w:t>
            </w:r>
            <w:r w:rsidR="004F656D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milion</w:t>
            </w:r>
            <w:r w:rsidR="00C21BF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="00775CAB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(</w:t>
            </w:r>
            <w:r w:rsidR="00C21BF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+21,7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 r/r)</w:t>
            </w:r>
            <w:r w:rsidR="003242A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notują</w:t>
            </w:r>
            <w:r w:rsidR="006908D3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przy tym </w:t>
            </w:r>
            <w:r w:rsidR="00DF6A2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spadek</w:t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zarówno</w:t>
            </w:r>
            <w:r w:rsidR="00DF6A2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rentowności operacyjnej (z 4,1% do 3,0%)</w:t>
            </w:r>
            <w:r w:rsidR="003242A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DF6A2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jak </w:t>
            </w:r>
            <w:r w:rsidR="00B3168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i</w:t>
            </w:r>
            <w:r w:rsidR="00424ADA"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rentowności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71C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brutto </w:t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(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 </w:t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3,4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DF6A2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3,2</w:t>
            </w:r>
            <w:r w:rsidR="00323D8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</w:t>
            </w:r>
            <w:r w:rsidR="008F662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)</w:t>
            </w:r>
            <w:r w:rsidR="003711C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424ADA" w:rsidRPr="007157E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2EEE77A7" w14:textId="0D711C1D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75031DE" w14:textId="77586519" w:rsidR="00C040ED" w:rsidRDefault="00DF6A22" w:rsidP="006E130B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DF6A2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0B45638F" wp14:editId="0551D07A">
                  <wp:simplePos x="0" y="0"/>
                  <wp:positionH relativeFrom="column">
                    <wp:posOffset>89189</wp:posOffset>
                  </wp:positionH>
                  <wp:positionV relativeFrom="paragraph">
                    <wp:posOffset>1427</wp:posOffset>
                  </wp:positionV>
                  <wp:extent cx="4132580" cy="2303780"/>
                  <wp:effectExtent l="0" t="0" r="1270" b="127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580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9D333" w14:textId="2687FB09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71EE460" w14:textId="1A7786C2" w:rsidR="00EF28BA" w:rsidRPr="00D03B68" w:rsidRDefault="00424AD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kwartale </w:t>
            </w:r>
            <w:r w:rsidR="00CC4B59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CC4B59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652FF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471B82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budowlanym </w:t>
            </w:r>
            <w:r w:rsidR="00A56E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znacznie wyższa</w:t>
            </w:r>
            <w:r w:rsidR="00846E0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</w:t>
            </w:r>
            <w:r w:rsidR="00636727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1652FF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analogicznym okresie roku poprzedniego</w:t>
            </w:r>
            <w:r w:rsidR="00426430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8F662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Wysoki portfel zamówień oraz sprzyjające warunki pogodowe pozwoliły na zwiększenie przychodów o </w:t>
            </w:r>
            <w:r w:rsidR="006B4EE8">
              <w:rPr>
                <w:rFonts w:ascii="Tahoma" w:eastAsia="Tahoma" w:hAnsi="Tahoma" w:cs="Tahoma"/>
                <w:color w:val="808080"/>
                <w:sz w:val="18"/>
                <w:szCs w:val="18"/>
              </w:rPr>
              <w:t>ponad 20%</w:t>
            </w:r>
            <w:r w:rsidR="008F662C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</w:p>
          <w:p w14:paraId="2C90B4F9" w14:textId="77777777" w:rsidR="00375A37" w:rsidRPr="007C69AF" w:rsidRDefault="00375A3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C27A25F" w14:textId="7130AA8D" w:rsidR="00CA7F9C" w:rsidRDefault="00EF28BA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operacyjna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B6F72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segmentu budowlanego 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3,0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i była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niższa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D546B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352719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porównaniu do analogicznego okresu roku ubiegłego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kiedy wyniosła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4,1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Odczuwamy drastyczny wzrost cen materiałów, który najlepiej widać na przykładzie cen różnych rodzajów stal</w:t>
            </w:r>
            <w:r w:rsidR="006B4EE8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="00EB2AA4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B31685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niektórych obszarach o</w:t>
            </w:r>
            <w:r w:rsidR="00EB2AA4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bserwujemy zaburzenia łańcucha dostaw, co dodatkowo utrudnia realizację kontraktów.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Budżety wszystkich realizowanych </w:t>
            </w:r>
            <w:r w:rsidR="00B31685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przez nas </w:t>
            </w:r>
            <w:r w:rsidR="008F662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projektów są na bieżąco aktualizowane</w:t>
            </w:r>
            <w:r w:rsidR="00CA7F9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natomiast dzięki </w:t>
            </w:r>
            <w:r w:rsidR="006B4EE8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dobrej</w:t>
            </w:r>
            <w:r w:rsidR="00CA7F9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kontraktów na ostatnich etapach realizacji średnia rentowność portfela </w:t>
            </w:r>
            <w:r w:rsidR="006B4EE8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pozostaje stabilna</w:t>
            </w:r>
            <w:r w:rsidR="00CA7F9C"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Wpływ zmian cen kluczowych asortymentów widoczny jest przede wszystkim na projektach, gdzie mamy relatywnie niewielkie zaawansowanie rzeczowe.</w:t>
            </w:r>
            <w:r w:rsidR="00CA7F9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648F41D7" w14:textId="66DDD335" w:rsidR="00CA7F9C" w:rsidRDefault="00CA7F9C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B7F2BF1" w14:textId="0F38B14E" w:rsidR="00CA7F9C" w:rsidRDefault="00CA7F9C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0187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segmentu budowlanego w omawianym okresie wyniosła 3,2% </w:t>
            </w:r>
            <w:r w:rsidR="00A30799" w:rsidRPr="0000187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00187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była niższa niż w pierwszym kwartale 2021 roku, kiedy wyniosła 3,4%.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258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tym roku </w:t>
            </w:r>
            <w:r w:rsidR="00DE23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na poziomie zysku brutto wspierana była przez pozytywny wynik na działalności finansowej z tytułu uzyskanych odsetek od depozytów.  </w:t>
            </w:r>
          </w:p>
          <w:p w14:paraId="2D3DFD25" w14:textId="77777777" w:rsidR="00650F76" w:rsidRDefault="00650F76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E810EAA" w14:textId="59A6526A" w:rsidR="00C853EF" w:rsidRDefault="00650F76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0187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Nieoczekiwane wzrosty cen materiałów przełożyły się również na nasze podejście do nowych ofert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EA6C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Wszystkie projekty, w których kalkulacje bazowały na cenach sprzed wybuchu wojny w Ukrainie, zostały ponownie </w:t>
            </w:r>
            <w:r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przeliczone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tak</w:t>
            </w:r>
            <w:r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abyśmy mogli podjąć odpowiedzialne decyzje o podpisaniu lub rezygnacji z danego </w:t>
            </w:r>
            <w:r w:rsidR="00B31685"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przetargu</w:t>
            </w:r>
            <w:r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 większości przypadków zaktualizowane kosztorysy znacząco przekraczały wartości składanych ofert, co </w:t>
            </w:r>
            <w:r w:rsidR="00B31685"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zmusiło</w:t>
            </w:r>
            <w:r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nas do rezygnacji z 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udziału w takich</w:t>
            </w:r>
            <w:r w:rsidR="00463ABF" w:rsidRPr="00D16F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przetarg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ach</w:t>
            </w:r>
            <w:r w:rsidRPr="00EF47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2A69E683" w14:textId="77777777" w:rsidR="00C853EF" w:rsidRDefault="00C853EF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F465F79" w14:textId="03A0620F" w:rsidR="00650F76" w:rsidRDefault="00C853EF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pierwszym kwartale 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pozyskaliśmy kontrakty o wartości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ponad 1,4 miliarda 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Portfel zamówień Grupy Budimex na koniec marca 2022 roku wyniósł 13,2 miliarda złotych i zabezpiecza front prac na cały bieżący rok i większość roku 2023. Wyzwaniem będzie </w:t>
            </w:r>
            <w:r w:rsidR="00A3079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portfela zamówień w perspektywie kilku kwartałów pod kątem </w:t>
            </w:r>
            <w:r w:rsidR="00A3079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zabezpieczenia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przychodów w latach kolejnych (po 2023 roku). </w:t>
            </w:r>
          </w:p>
          <w:p w14:paraId="0BA018BC" w14:textId="77777777" w:rsidR="007012C0" w:rsidRPr="007012C0" w:rsidRDefault="007012C0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7983DC6" w14:textId="5CB49A34" w:rsidR="00775CAB" w:rsidRPr="003734D3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</w:t>
            </w:r>
            <w:r w:rsidR="00C853E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pierwszy kwartał </w:t>
            </w:r>
            <w:r w:rsidR="000E4D10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C853E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0E4D10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pozycją gotówkową netto na poziomie </w:t>
            </w:r>
            <w:r w:rsidR="00135A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</w:t>
            </w:r>
            <w:r w:rsidR="00135A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 w:rsidR="00B36AEC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3734D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czerwcu</w:t>
            </w:r>
            <w:r w:rsidR="000011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0011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r.</w:t>
            </w:r>
            <w:r w:rsid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planujemy wypłacić pozostałą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dywidendę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 rok 2021 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wysokości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23,47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 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przeliczeniu na 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jedną 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akcję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Tym samym łączna dywidenda za rok 2021 przypadająca na jedną akcję </w:t>
            </w:r>
            <w:r w:rsidR="00D06C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(łącznie z zaliczką dywidendy wypłaconą w 2021 roku) 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wyniesie 38,37 zł. </w:t>
            </w:r>
            <w:r w:rsidR="003734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3AEB0E0" w14:textId="77777777" w:rsidR="009C59A0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E5B09C5" w14:textId="114FEC3E" w:rsidR="0001727E" w:rsidRDefault="00C93FA1" w:rsidP="00D4399C">
            <w:pPr>
              <w:spacing w:line="360" w:lineRule="auto"/>
              <w:jc w:val="both"/>
              <w:rPr>
                <w:rStyle w:val="Odwoaniedokomentarza"/>
              </w:rPr>
            </w:pP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W pierwszym kwartale </w:t>
            </w:r>
            <w:r w:rsidR="005539C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</w:t>
            </w:r>
            <w:r w:rsidR="003242A3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r.</w:t>
            </w:r>
            <w:r w:rsidR="005539C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242A3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Grup</w:t>
            </w:r>
            <w:r w:rsidR="003242A3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a</w:t>
            </w:r>
            <w:r w:rsidR="003242A3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770099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FBSerwis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utrzymała wysoki poziom przychodów ze sprzedaży przy zachowaniu dobrej rentowności</w:t>
            </w:r>
            <w:r w:rsidR="009C59A0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.</w:t>
            </w:r>
            <w:r w:rsidR="003C6FEF">
              <w:t xml:space="preserve"> </w:t>
            </w:r>
            <w:r w:rsidR="003C6FEF" w:rsidRPr="003C6FE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Zysk brutto wyniósł 16 milionów złotych w porównaniu do 22 milionów złotych w pierwszym kwartale 2021 roku.</w:t>
            </w:r>
          </w:p>
          <w:p w14:paraId="307553FE" w14:textId="1BF2A9BE" w:rsidR="00D4399C" w:rsidRDefault="00D4399C" w:rsidP="00D4399C">
            <w:pPr>
              <w:spacing w:line="360" w:lineRule="auto"/>
              <w:jc w:val="both"/>
              <w:rPr>
                <w:rStyle w:val="Odwoaniedokomentarza"/>
              </w:rPr>
            </w:pPr>
          </w:p>
          <w:p w14:paraId="47668C2E" w14:textId="5490D974" w:rsidR="00D4399C" w:rsidRDefault="009C59A0" w:rsidP="00D4399C">
            <w:pPr>
              <w:spacing w:line="360" w:lineRule="auto"/>
              <w:jc w:val="center"/>
              <w:rPr>
                <w:rStyle w:val="Odwoaniedokomentarza"/>
              </w:rPr>
            </w:pPr>
            <w:r w:rsidRPr="009C59A0">
              <w:rPr>
                <w:rStyle w:val="Odwoaniedokomentarza"/>
                <w:noProof/>
              </w:rPr>
              <w:lastRenderedPageBreak/>
              <w:drawing>
                <wp:inline distT="0" distB="0" distL="0" distR="0" wp14:anchorId="59F0C1F3" wp14:editId="03AE6622">
                  <wp:extent cx="4132580" cy="1668780"/>
                  <wp:effectExtent l="0" t="0" r="127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5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8D947" w14:textId="2EB7C819" w:rsidR="00B36AEC" w:rsidRPr="007C69AF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bookmarkStart w:id="0" w:name="_Hlk70347627"/>
          </w:p>
          <w:p w14:paraId="3C880982" w14:textId="63BC3EB2" w:rsidR="00277101" w:rsidRDefault="00277101" w:rsidP="00277101">
            <w:bookmarkStart w:id="1" w:name="_Hlk77692426"/>
            <w:bookmarkStart w:id="2" w:name="_Hlk100758814"/>
            <w:bookmarkEnd w:id="0"/>
          </w:p>
          <w:p w14:paraId="1CE8DDAA" w14:textId="070C5AC8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FBSerwis, będącej kluczowym aktywem w ramach segmentu usługowego (wyniki części usługowej obejmują również działalności </w:t>
            </w:r>
            <w:r w:rsidR="00F35A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kilku mniejszych spółek, w tym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Parking Wrocław) wyniosły 165 milionów złotych i były zbliżone do analogicznego okresu roku poprzedniego. Osiągnięty wolumen sprzedaży był nieco wyższy niż nasze wewnętrzne plany, co wynikało przede wszystkim ze zwiększonych przerobów w części utrzymania infrastruktury. </w:t>
            </w:r>
            <w:r w:rsidR="006943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Wzrost cen kluczowych asortymentów miał niewielki wpływ na główny obszar działalności Grupy FBSerwis, czyli segment usług środowiskowych. W części utrzymania infrastruktury odczuliśmy przede wszystkim wzrost cen paliw. </w:t>
            </w:r>
          </w:p>
          <w:p w14:paraId="2C8C8DB0" w14:textId="77777777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272464FE" w14:textId="76B58A7F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Zgodnie z naszymi przewidywaniami aktualnie w pełni wykorzystujemy potencjał </w:t>
            </w:r>
            <w:r w:rsidR="009C59A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moce produkcyjne Grupy FBSerwis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ogranicza możliwość organicznego wzrostu biznesu. Koncentrujemy się na inwestycjach w rozbudowę istniejących instalacji przetwarzania odpadów oraz składowisk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pozwoli zwiększać skalę działalności wykorzystując posiadane zasoby. Dodatkowo prowadzonych jest kilka projektów akwizycyjnych, z czego jeden z nich – przejęcie firmy z branży gospodarki odpadami, o przychodach rzędu 30 milionów złotych rocznie – może zostać sfinalizowany jeszcze w pierwszym półroczu tego roku. Poszukujemy spółek, które pomogą nam realizować bieżące zadania, wpiszą się w model biznesowy Grupy i jednocześnie przyczynią się do zwiększenia przychodów ze sprzedaży tak, aby w roku 2026 osiągnąć 1 </w:t>
            </w:r>
            <w:r w:rsidR="009C59A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 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zachowaniu poziomu rentowności. </w:t>
            </w:r>
            <w:bookmarkEnd w:id="1"/>
          </w:p>
          <w:bookmarkEnd w:id="2"/>
          <w:p w14:paraId="78B44991" w14:textId="77777777" w:rsidR="00815619" w:rsidRPr="007C69AF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09D89EB6" w14:textId="2C2EF592" w:rsidR="006D546B" w:rsidRDefault="00CF024B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Wchodzimy w sezon budowlany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</w:t>
            </w:r>
            <w:r w:rsidR="001378B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wysokim</w:t>
            </w:r>
            <w:r w:rsidR="000471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portfelem zamówień </w:t>
            </w:r>
            <w:r w:rsidR="000471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na</w:t>
            </w:r>
            <w:r w:rsidR="00375A3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poziomie </w:t>
            </w:r>
            <w:r w:rsidR="006F3FA9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</w:t>
            </w:r>
            <w:r w:rsidR="000471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,2</w:t>
            </w:r>
            <w:r w:rsidR="0001727E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miliard</w:t>
            </w:r>
            <w:r w:rsidR="00E52A46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="00775CAB" w:rsidRPr="006F3FA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złotych.</w:t>
            </w:r>
            <w:r w:rsidR="00775CAB" w:rsidRPr="006F3F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558DA780" w14:textId="242D7728" w:rsidR="007065F1" w:rsidRDefault="007065F1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060F040" w14:textId="77777777" w:rsidR="00EF47AF" w:rsidRDefault="00EF47AF" w:rsidP="00EF47AF">
            <w:pPr>
              <w:spacing w:line="360" w:lineRule="auto"/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Jako przedstawiciel branży apelujemy o weryfikację i aktualizację klauzul waloryzacyjnych, które tylko częściowo rekompensują wzrost cen materiałów. Pozytywnie oceniamy podniesienie limitów waloryzacji u części zamawiających do 10%, natomiast przy obecnej skali wzrostów cen materiałów i dwucyfrowej inflacji ciągle nie jest to wystarczający poziom, szczególnie na kontraktach w trakcie realizacji.</w:t>
            </w:r>
          </w:p>
          <w:p w14:paraId="41ED8524" w14:textId="77777777" w:rsidR="00EF47AF" w:rsidRDefault="00EF47AF" w:rsidP="00EF47AF">
            <w:pPr>
              <w:spacing w:line="360" w:lineRule="auto"/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lastRenderedPageBreak/>
              <w:t xml:space="preserve">Brak waloryzacji może doprowadzić do konieczności zawieszenia prac na kontraktach przez wykonawców czy nawet bankructw firm będących w słabszej kondycji finansowej. </w:t>
            </w:r>
          </w:p>
          <w:p w14:paraId="2BA4EDBE" w14:textId="77777777" w:rsidR="00DF554A" w:rsidRPr="00DC48AE" w:rsidRDefault="00DF554A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059D71" w14:textId="3AC88BA6" w:rsidR="00154AF9" w:rsidRPr="006D060D" w:rsidRDefault="00DF554A" w:rsidP="00154AF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Naszym celem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wyzwaniem </w:t>
            </w:r>
            <w:r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najbliższym roku jest utrzymanie pozycji lidera w kluczowych segmentach rynku budowlanego. </w:t>
            </w:r>
            <w:r w:rsidRPr="000E55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Jednocześnie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rudna sytuacja na lokalnym rynku przetargów budowlanych daje nam dodatkowe argumenty za wzmocnieniem naszej obecności na rynkach ościennych. Na rynku niemieckim realizujemy już pierwsze zlecenie</w:t>
            </w:r>
            <w:r w:rsidR="003242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w ostatnim czasie zostaliśmy wybrani do realizacji kolejnego przetargu, na budowę niewielkiej hali sportowej. Następnym etapem ekspansji zagranicznej będzie wygranie kontraktu na rynku czeskim i słowackim, gdzie naszym celem są przede wszystkim projekty infrastrukturalne. W ostatnich miesiącach złożyliśmy na tych rynkach kilkanaście istotnych ofert, kilka z nich plasuje się na drugim miejscu pod </w:t>
            </w:r>
            <w:r w:rsidR="00693A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względem 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ceny. </w:t>
            </w:r>
          </w:p>
          <w:p w14:paraId="7C4126B2" w14:textId="77777777" w:rsidR="006514B7" w:rsidRPr="007065F1" w:rsidRDefault="006514B7" w:rsidP="004E367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E798687" w14:textId="73E4F064" w:rsidR="004E3670" w:rsidRDefault="00CF0586" w:rsidP="004E367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 zakupie projektu farmy wiatrowej Drachowo</w:t>
            </w:r>
            <w:r w:rsidR="0086465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(SPV Magnolia)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mocy 7MW niezwłocznie rozpoczęliśmy prace budowlane. Już w przyszłym roku rozpoczniemy produkcję zielonej energii. Przyglądamy się kolejnym okazjom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inwestyc</w:t>
            </w:r>
            <w:r w:rsidR="006524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yjnym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OZE, zgodnie</w:t>
            </w:r>
            <w:r w:rsidR="004151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kierunkami rozwoju przyjętymi przez Grupę Budimex</w:t>
            </w:r>
            <w:r w:rsidR="006524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a w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ysoka pozycja gotówkowa</w:t>
            </w:r>
            <w:r w:rsidR="006524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daj</w:t>
            </w:r>
            <w:r w:rsidR="00FC60E2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6524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nam</w:t>
            </w:r>
            <w:r w:rsidR="006514B7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C60E2" w:rsidRP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szerokie możliwości inwestycyjne</w:t>
            </w:r>
            <w:r w:rsidR="006524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35FEDAEA" w14:textId="0D21258B" w:rsidR="000F478F" w:rsidRDefault="000F478F" w:rsidP="004E367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F859939" w14:textId="1658AE1E" w:rsidR="002A6AC8" w:rsidRDefault="00A04962" w:rsidP="00A0496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Testujemy na naszych budowach</w:t>
            </w:r>
            <w:r w:rsidR="0086465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automatyczny monitoring w zakresie bezpieczeństwa BHP ze zwycięzcą programu Budimex Startup Challenge.  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Rozpoczynamy współpracę z zespołem młodych naukow</w:t>
            </w:r>
            <w:r w:rsidR="004F76E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ców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OSA Team, którzy są zwycięzcami 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główn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ej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nagrod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uropejskiej 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Agencji Kosmicznej w 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konkurs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ie</w:t>
            </w:r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2A6AC8" w:rsidRP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CanSa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</w:t>
            </w:r>
            <w:proofErr w:type="spellEnd"/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6B620CF3" w14:textId="77777777" w:rsidR="002A6AC8" w:rsidRDefault="002A6AC8" w:rsidP="00A0496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683BDBC" w14:textId="7D20AA7B" w:rsidR="00A04962" w:rsidRDefault="00A04962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Przeznaczyliśmy 0,5 mln złotych na specjalistyczne leki szpitalne 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dla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dziecięcego szpitala neonatologicznego oraz szpitala św. </w:t>
            </w:r>
            <w:proofErr w:type="spellStart"/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Pantelejmona</w:t>
            </w:r>
            <w:proofErr w:type="spellEnd"/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we Lwowie. Współfinansujemy wspólnie z Polskim Związkiem Pracodawców Budownictwa zakup karetki dla Ukrainy.</w:t>
            </w:r>
            <w:r w:rsidR="004F76E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Dodatkowo n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asi pracownicy w całej grupie Ferrovial przekazują też własne środki finansowe na pomoc humanitarną dla Ukrainy. Podwojone przez 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Grupę 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Ferrovial i Budimex pieniądze zostaną przekazane na wspólnie wybraną </w:t>
            </w:r>
            <w:r w:rsidR="00693AAB"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fundacj</w:t>
            </w:r>
            <w:r w:rsidR="00693A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ę 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niosącą pomoc Ukrainie. Szacujemy, że całkowita wartość naszej pomocy dla Ukrainy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tym naszych pracowników</w:t>
            </w:r>
            <w:r w:rsidR="002A6A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A049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przekroczy kwotę 4 mln zł.</w:t>
            </w:r>
          </w:p>
          <w:p w14:paraId="27AB3203" w14:textId="77777777" w:rsidR="00053E58" w:rsidRDefault="00053E58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213B702" w14:textId="6849F125" w:rsidR="003A74B7" w:rsidRDefault="00AB3C2E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B3C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Przygotowujemy pierwsze dwie z pięciu w tym roku Stref Rodzica w Samodzielnym Publicznym Zakładzie Opieki Zdrowotnej Szpitala Powiatowego w Piszu oraz Wojewódzkim Szpitalu Dziecięcym im. J. Brudzińskiego w Bydgoszczy.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Realizujemy prace wykończeniowe domu dla ośmioosobowej rodziny w projekcie Dom z Serca 2 na Pomorzu. </w:t>
            </w:r>
          </w:p>
          <w:p w14:paraId="77B4F619" w14:textId="74521F3B" w:rsidR="00AB3C2E" w:rsidRDefault="00AB3C2E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2D2EDB3" w14:textId="54053ABC" w:rsidR="00AB3C2E" w:rsidRPr="004151F3" w:rsidRDefault="00AB3C2E" w:rsidP="00AB3C2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</w:pPr>
            <w:r w:rsidRPr="00AB3C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W konkursie Diamenty Infrastruktury i Budownictwa zdobyliśmy tytuł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generalnego wykonawcy budowlanego 2021 roku. </w:t>
            </w:r>
            <w:r w:rsidRPr="00AB3C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nowego bloku energetycznego w</w:t>
            </w:r>
            <w:r w:rsidR="00693A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Turowie dla PGE</w:t>
            </w:r>
            <w:r w:rsidR="00693A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realizowana przez Budimex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AB3C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zajęła I miejsce w konkursie </w:t>
            </w:r>
            <w:r w:rsidRPr="004151F3">
              <w:rPr>
                <w:rFonts w:ascii="Tahoma" w:eastAsia="Times New Roman" w:hAnsi="Tahoma" w:cs="Tahoma"/>
                <w:color w:val="808080" w:themeColor="background1" w:themeShade="80"/>
                <w:sz w:val="18"/>
                <w:szCs w:val="18"/>
                <w:lang w:eastAsia="en-US"/>
              </w:rPr>
              <w:t>Buduj Bezpiecznie Państwowej Inspekcji Pracy.</w:t>
            </w:r>
          </w:p>
          <w:p w14:paraId="44BE80C7" w14:textId="18F15549" w:rsidR="00DE4D7D" w:rsidRPr="007C6D66" w:rsidRDefault="00DE4D7D" w:rsidP="00AB3C2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5F2F21" w14:textId="2DED115D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775CAB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5C7FB5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5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5C7FB5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6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6593" w14:textId="77777777" w:rsidR="006C6126" w:rsidRDefault="006C6126">
      <w:pPr>
        <w:spacing w:after="0" w:line="240" w:lineRule="auto"/>
      </w:pPr>
      <w:r>
        <w:separator/>
      </w:r>
    </w:p>
  </w:endnote>
  <w:endnote w:type="continuationSeparator" w:id="0">
    <w:p w14:paraId="2EB280A4" w14:textId="77777777" w:rsidR="006C6126" w:rsidRDefault="006C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F1AF" w14:textId="77777777" w:rsidR="006C6126" w:rsidRDefault="006C6126">
      <w:pPr>
        <w:spacing w:after="0" w:line="240" w:lineRule="auto"/>
      </w:pPr>
      <w:r>
        <w:separator/>
      </w:r>
    </w:p>
  </w:footnote>
  <w:footnote w:type="continuationSeparator" w:id="0">
    <w:p w14:paraId="689AEF22" w14:textId="77777777" w:rsidR="006C6126" w:rsidRDefault="006C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116D"/>
    <w:rsid w:val="0000187D"/>
    <w:rsid w:val="00002FA2"/>
    <w:rsid w:val="00005901"/>
    <w:rsid w:val="0001222E"/>
    <w:rsid w:val="000150C1"/>
    <w:rsid w:val="0001727E"/>
    <w:rsid w:val="00027A52"/>
    <w:rsid w:val="00033E4A"/>
    <w:rsid w:val="00033EEE"/>
    <w:rsid w:val="0003691C"/>
    <w:rsid w:val="00044B01"/>
    <w:rsid w:val="000471E4"/>
    <w:rsid w:val="00053E58"/>
    <w:rsid w:val="000602EE"/>
    <w:rsid w:val="00061B68"/>
    <w:rsid w:val="00061F85"/>
    <w:rsid w:val="0006314F"/>
    <w:rsid w:val="000644F6"/>
    <w:rsid w:val="00083EB2"/>
    <w:rsid w:val="0008411D"/>
    <w:rsid w:val="00084D2C"/>
    <w:rsid w:val="000908AD"/>
    <w:rsid w:val="000935B7"/>
    <w:rsid w:val="00093C5B"/>
    <w:rsid w:val="00094318"/>
    <w:rsid w:val="00096E60"/>
    <w:rsid w:val="000A0D19"/>
    <w:rsid w:val="000A29DB"/>
    <w:rsid w:val="000A4C94"/>
    <w:rsid w:val="000B0FF0"/>
    <w:rsid w:val="000B570C"/>
    <w:rsid w:val="000B7985"/>
    <w:rsid w:val="000C0857"/>
    <w:rsid w:val="000C60FB"/>
    <w:rsid w:val="000D4CA2"/>
    <w:rsid w:val="000D51F1"/>
    <w:rsid w:val="000E4D10"/>
    <w:rsid w:val="000E5514"/>
    <w:rsid w:val="000F478F"/>
    <w:rsid w:val="000F734A"/>
    <w:rsid w:val="00103FBA"/>
    <w:rsid w:val="00106347"/>
    <w:rsid w:val="00120F42"/>
    <w:rsid w:val="00121797"/>
    <w:rsid w:val="00125739"/>
    <w:rsid w:val="00131EA2"/>
    <w:rsid w:val="00135A1E"/>
    <w:rsid w:val="001378BE"/>
    <w:rsid w:val="001415FC"/>
    <w:rsid w:val="0015239C"/>
    <w:rsid w:val="00154AF9"/>
    <w:rsid w:val="00164288"/>
    <w:rsid w:val="001652FF"/>
    <w:rsid w:val="0016660D"/>
    <w:rsid w:val="00171E71"/>
    <w:rsid w:val="00176796"/>
    <w:rsid w:val="00176B23"/>
    <w:rsid w:val="00180DCA"/>
    <w:rsid w:val="00183716"/>
    <w:rsid w:val="00184033"/>
    <w:rsid w:val="00184B5B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2FCE"/>
    <w:rsid w:val="001E3718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2070B"/>
    <w:rsid w:val="002332A6"/>
    <w:rsid w:val="00234145"/>
    <w:rsid w:val="00235BCA"/>
    <w:rsid w:val="0023777F"/>
    <w:rsid w:val="00241059"/>
    <w:rsid w:val="002431E6"/>
    <w:rsid w:val="002451CA"/>
    <w:rsid w:val="00246369"/>
    <w:rsid w:val="0024710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71F2"/>
    <w:rsid w:val="002D0A73"/>
    <w:rsid w:val="002E348B"/>
    <w:rsid w:val="002E4678"/>
    <w:rsid w:val="002E4732"/>
    <w:rsid w:val="002F2A15"/>
    <w:rsid w:val="002F35F7"/>
    <w:rsid w:val="003023A0"/>
    <w:rsid w:val="0030310D"/>
    <w:rsid w:val="00310980"/>
    <w:rsid w:val="00312C4B"/>
    <w:rsid w:val="00314819"/>
    <w:rsid w:val="0031612E"/>
    <w:rsid w:val="00323D83"/>
    <w:rsid w:val="003242A3"/>
    <w:rsid w:val="00330315"/>
    <w:rsid w:val="00330932"/>
    <w:rsid w:val="00335E0E"/>
    <w:rsid w:val="003371B4"/>
    <w:rsid w:val="00337C34"/>
    <w:rsid w:val="00337F4C"/>
    <w:rsid w:val="003413EC"/>
    <w:rsid w:val="00343F41"/>
    <w:rsid w:val="00352719"/>
    <w:rsid w:val="00356480"/>
    <w:rsid w:val="00360B0E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A0B81"/>
    <w:rsid w:val="003A74B7"/>
    <w:rsid w:val="003B2692"/>
    <w:rsid w:val="003B3277"/>
    <w:rsid w:val="003C0EF3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406D9D"/>
    <w:rsid w:val="004151F3"/>
    <w:rsid w:val="0042081D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535"/>
    <w:rsid w:val="00456A67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63AA"/>
    <w:rsid w:val="004856A1"/>
    <w:rsid w:val="00486407"/>
    <w:rsid w:val="00493212"/>
    <w:rsid w:val="004A002F"/>
    <w:rsid w:val="004A25A7"/>
    <w:rsid w:val="004A417F"/>
    <w:rsid w:val="004A4455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BF3"/>
    <w:rsid w:val="004E4375"/>
    <w:rsid w:val="004E514D"/>
    <w:rsid w:val="004E664B"/>
    <w:rsid w:val="004E7219"/>
    <w:rsid w:val="004E7872"/>
    <w:rsid w:val="004F5F2B"/>
    <w:rsid w:val="004F656D"/>
    <w:rsid w:val="004F76E3"/>
    <w:rsid w:val="0050050B"/>
    <w:rsid w:val="0050128F"/>
    <w:rsid w:val="005030B7"/>
    <w:rsid w:val="00513957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5003D"/>
    <w:rsid w:val="00551364"/>
    <w:rsid w:val="00552AF7"/>
    <w:rsid w:val="00553801"/>
    <w:rsid w:val="005539C6"/>
    <w:rsid w:val="00553D50"/>
    <w:rsid w:val="00556C60"/>
    <w:rsid w:val="0056066B"/>
    <w:rsid w:val="005623F5"/>
    <w:rsid w:val="00562455"/>
    <w:rsid w:val="00563A0B"/>
    <w:rsid w:val="005717E9"/>
    <w:rsid w:val="00574EC5"/>
    <w:rsid w:val="0058424C"/>
    <w:rsid w:val="00584EAB"/>
    <w:rsid w:val="005863A7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58F7"/>
    <w:rsid w:val="005C7276"/>
    <w:rsid w:val="005D25D3"/>
    <w:rsid w:val="005D7C59"/>
    <w:rsid w:val="005E0107"/>
    <w:rsid w:val="005E090C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5EE0"/>
    <w:rsid w:val="0067655C"/>
    <w:rsid w:val="00684AEF"/>
    <w:rsid w:val="00685FB2"/>
    <w:rsid w:val="006908D3"/>
    <w:rsid w:val="00691304"/>
    <w:rsid w:val="006913B6"/>
    <w:rsid w:val="00693AAB"/>
    <w:rsid w:val="006943AF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6126"/>
    <w:rsid w:val="006D060D"/>
    <w:rsid w:val="006D1428"/>
    <w:rsid w:val="006D5288"/>
    <w:rsid w:val="006D546B"/>
    <w:rsid w:val="006D640A"/>
    <w:rsid w:val="006D721C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7599"/>
    <w:rsid w:val="00756852"/>
    <w:rsid w:val="00762BB9"/>
    <w:rsid w:val="007659C0"/>
    <w:rsid w:val="00770099"/>
    <w:rsid w:val="007724D1"/>
    <w:rsid w:val="00775CAB"/>
    <w:rsid w:val="00777A92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5978"/>
    <w:rsid w:val="007D6975"/>
    <w:rsid w:val="007D7046"/>
    <w:rsid w:val="007D790E"/>
    <w:rsid w:val="007D7917"/>
    <w:rsid w:val="007E19BC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C4C"/>
    <w:rsid w:val="00810CB0"/>
    <w:rsid w:val="00811901"/>
    <w:rsid w:val="00815619"/>
    <w:rsid w:val="00815E45"/>
    <w:rsid w:val="008230DA"/>
    <w:rsid w:val="00824271"/>
    <w:rsid w:val="00825812"/>
    <w:rsid w:val="00825FA7"/>
    <w:rsid w:val="008373EA"/>
    <w:rsid w:val="00840917"/>
    <w:rsid w:val="00841029"/>
    <w:rsid w:val="00846E09"/>
    <w:rsid w:val="00850178"/>
    <w:rsid w:val="00850757"/>
    <w:rsid w:val="0085210D"/>
    <w:rsid w:val="00854FCC"/>
    <w:rsid w:val="0086463D"/>
    <w:rsid w:val="00864650"/>
    <w:rsid w:val="00867B13"/>
    <w:rsid w:val="00871CAB"/>
    <w:rsid w:val="00875D93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C2D2B"/>
    <w:rsid w:val="008C3396"/>
    <w:rsid w:val="008C3407"/>
    <w:rsid w:val="008D3344"/>
    <w:rsid w:val="008D3B53"/>
    <w:rsid w:val="008D6295"/>
    <w:rsid w:val="008E179B"/>
    <w:rsid w:val="008E49DC"/>
    <w:rsid w:val="008E5974"/>
    <w:rsid w:val="008F0F82"/>
    <w:rsid w:val="008F47AB"/>
    <w:rsid w:val="008F662C"/>
    <w:rsid w:val="009004D4"/>
    <w:rsid w:val="00903035"/>
    <w:rsid w:val="009060CB"/>
    <w:rsid w:val="00917E35"/>
    <w:rsid w:val="00917F22"/>
    <w:rsid w:val="00926AB4"/>
    <w:rsid w:val="00934E3C"/>
    <w:rsid w:val="00935CAC"/>
    <w:rsid w:val="009412FA"/>
    <w:rsid w:val="009423FC"/>
    <w:rsid w:val="009440A3"/>
    <w:rsid w:val="00950989"/>
    <w:rsid w:val="00950CD1"/>
    <w:rsid w:val="00953058"/>
    <w:rsid w:val="0095559D"/>
    <w:rsid w:val="00980272"/>
    <w:rsid w:val="00985437"/>
    <w:rsid w:val="00985A8D"/>
    <w:rsid w:val="00985D5B"/>
    <w:rsid w:val="00986024"/>
    <w:rsid w:val="0099010B"/>
    <w:rsid w:val="009923E1"/>
    <w:rsid w:val="009934D7"/>
    <w:rsid w:val="009966F7"/>
    <w:rsid w:val="009A0BA1"/>
    <w:rsid w:val="009A2A41"/>
    <w:rsid w:val="009A6A6A"/>
    <w:rsid w:val="009B023E"/>
    <w:rsid w:val="009B24AE"/>
    <w:rsid w:val="009B5EAF"/>
    <w:rsid w:val="009B7B45"/>
    <w:rsid w:val="009C59A0"/>
    <w:rsid w:val="009C79F3"/>
    <w:rsid w:val="009C7D4A"/>
    <w:rsid w:val="009C7EB1"/>
    <w:rsid w:val="009D744F"/>
    <w:rsid w:val="009E34F6"/>
    <w:rsid w:val="009E4C4D"/>
    <w:rsid w:val="009F768E"/>
    <w:rsid w:val="00A01C61"/>
    <w:rsid w:val="00A04962"/>
    <w:rsid w:val="00A04EE4"/>
    <w:rsid w:val="00A13CA8"/>
    <w:rsid w:val="00A2774D"/>
    <w:rsid w:val="00A30799"/>
    <w:rsid w:val="00A356C3"/>
    <w:rsid w:val="00A405AF"/>
    <w:rsid w:val="00A40E99"/>
    <w:rsid w:val="00A427E8"/>
    <w:rsid w:val="00A508CB"/>
    <w:rsid w:val="00A542E3"/>
    <w:rsid w:val="00A56E7C"/>
    <w:rsid w:val="00A66652"/>
    <w:rsid w:val="00A70255"/>
    <w:rsid w:val="00A75A99"/>
    <w:rsid w:val="00A85A81"/>
    <w:rsid w:val="00A9414D"/>
    <w:rsid w:val="00A94DDE"/>
    <w:rsid w:val="00A95921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4603"/>
    <w:rsid w:val="00AC4F30"/>
    <w:rsid w:val="00AC6E6F"/>
    <w:rsid w:val="00AD1935"/>
    <w:rsid w:val="00AD1A09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487A"/>
    <w:rsid w:val="00B31685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3215"/>
    <w:rsid w:val="00BB20C3"/>
    <w:rsid w:val="00BB37BF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66B6"/>
    <w:rsid w:val="00C07082"/>
    <w:rsid w:val="00C07D71"/>
    <w:rsid w:val="00C07D7B"/>
    <w:rsid w:val="00C1161C"/>
    <w:rsid w:val="00C11B8B"/>
    <w:rsid w:val="00C1552F"/>
    <w:rsid w:val="00C21BFC"/>
    <w:rsid w:val="00C220E3"/>
    <w:rsid w:val="00C22311"/>
    <w:rsid w:val="00C2526F"/>
    <w:rsid w:val="00C25482"/>
    <w:rsid w:val="00C2719B"/>
    <w:rsid w:val="00C3176E"/>
    <w:rsid w:val="00C32C83"/>
    <w:rsid w:val="00C41615"/>
    <w:rsid w:val="00C43084"/>
    <w:rsid w:val="00C44E46"/>
    <w:rsid w:val="00C45404"/>
    <w:rsid w:val="00C47A3A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4090"/>
    <w:rsid w:val="00CA7F9C"/>
    <w:rsid w:val="00CC4B59"/>
    <w:rsid w:val="00CC52EC"/>
    <w:rsid w:val="00CD1EBE"/>
    <w:rsid w:val="00CD548E"/>
    <w:rsid w:val="00CD57DA"/>
    <w:rsid w:val="00CE063A"/>
    <w:rsid w:val="00CE1ED2"/>
    <w:rsid w:val="00CE292D"/>
    <w:rsid w:val="00CE45B6"/>
    <w:rsid w:val="00CF024B"/>
    <w:rsid w:val="00CF0586"/>
    <w:rsid w:val="00CF7BF1"/>
    <w:rsid w:val="00D02632"/>
    <w:rsid w:val="00D03B68"/>
    <w:rsid w:val="00D06C6B"/>
    <w:rsid w:val="00D07BAF"/>
    <w:rsid w:val="00D136C3"/>
    <w:rsid w:val="00D156F0"/>
    <w:rsid w:val="00D16F4F"/>
    <w:rsid w:val="00D23E56"/>
    <w:rsid w:val="00D2623A"/>
    <w:rsid w:val="00D265B4"/>
    <w:rsid w:val="00D31DC8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72A4"/>
    <w:rsid w:val="00D904EF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C87"/>
    <w:rsid w:val="00DD7855"/>
    <w:rsid w:val="00DE0B69"/>
    <w:rsid w:val="00DE23F2"/>
    <w:rsid w:val="00DE3C90"/>
    <w:rsid w:val="00DE3D22"/>
    <w:rsid w:val="00DE4D7D"/>
    <w:rsid w:val="00DE5AC6"/>
    <w:rsid w:val="00DF554A"/>
    <w:rsid w:val="00DF6A22"/>
    <w:rsid w:val="00DF6F79"/>
    <w:rsid w:val="00DF7CA2"/>
    <w:rsid w:val="00E0076A"/>
    <w:rsid w:val="00E11DAD"/>
    <w:rsid w:val="00E122F1"/>
    <w:rsid w:val="00E12ADB"/>
    <w:rsid w:val="00E229C5"/>
    <w:rsid w:val="00E25398"/>
    <w:rsid w:val="00E25B72"/>
    <w:rsid w:val="00E31F2A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7157F"/>
    <w:rsid w:val="00E71F38"/>
    <w:rsid w:val="00E762B6"/>
    <w:rsid w:val="00E808DB"/>
    <w:rsid w:val="00E80F4B"/>
    <w:rsid w:val="00E82BA3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5DB3"/>
    <w:rsid w:val="00EA6C3B"/>
    <w:rsid w:val="00EB1D28"/>
    <w:rsid w:val="00EB1ECE"/>
    <w:rsid w:val="00EB2AA4"/>
    <w:rsid w:val="00EB40E2"/>
    <w:rsid w:val="00EC21EA"/>
    <w:rsid w:val="00EC76D5"/>
    <w:rsid w:val="00EE53F4"/>
    <w:rsid w:val="00EE667C"/>
    <w:rsid w:val="00EF0A90"/>
    <w:rsid w:val="00EF26DC"/>
    <w:rsid w:val="00EF28BA"/>
    <w:rsid w:val="00EF2D8F"/>
    <w:rsid w:val="00EF47A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6121"/>
    <w:rsid w:val="00F30C90"/>
    <w:rsid w:val="00F35A29"/>
    <w:rsid w:val="00F41795"/>
    <w:rsid w:val="00F450AF"/>
    <w:rsid w:val="00F47FCC"/>
    <w:rsid w:val="00F50280"/>
    <w:rsid w:val="00F56A92"/>
    <w:rsid w:val="00F57825"/>
    <w:rsid w:val="00F64BAE"/>
    <w:rsid w:val="00F65CEF"/>
    <w:rsid w:val="00F72D5F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8AB"/>
    <w:rsid w:val="00FC60E2"/>
    <w:rsid w:val="00FC7783"/>
    <w:rsid w:val="00FD01B0"/>
    <w:rsid w:val="00FD14F3"/>
    <w:rsid w:val="00FD5083"/>
    <w:rsid w:val="00FD63B7"/>
    <w:rsid w:val="00FD7691"/>
    <w:rsid w:val="00FE2F6B"/>
    <w:rsid w:val="00FE712E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2022-04-15T09:33:00Z</cp:lastPrinted>
  <dcterms:created xsi:type="dcterms:W3CDTF">2022-04-28T09:42:00Z</dcterms:created>
  <dcterms:modified xsi:type="dcterms:W3CDTF">2022-04-28T09:42:00Z</dcterms:modified>
</cp:coreProperties>
</file>