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EED3C" w14:textId="77777777" w:rsidR="004733BF" w:rsidRDefault="00A4298E" w:rsidP="004733BF">
      <w:pPr>
        <w:autoSpaceDE w:val="0"/>
        <w:autoSpaceDN w:val="0"/>
        <w:adjustRightInd w:val="0"/>
        <w:spacing w:after="0"/>
        <w:ind w:left="-113"/>
        <w:jc w:val="right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0F922F51" wp14:editId="762DE6E7">
            <wp:simplePos x="0" y="0"/>
            <wp:positionH relativeFrom="column">
              <wp:posOffset>5118100</wp:posOffset>
            </wp:positionH>
            <wp:positionV relativeFrom="paragraph">
              <wp:posOffset>-51435</wp:posOffset>
            </wp:positionV>
            <wp:extent cx="1174115" cy="719455"/>
            <wp:effectExtent l="0" t="0" r="6985" b="4445"/>
            <wp:wrapNone/>
            <wp:docPr id="5" name="Obraz 5" descr="G:\raporty2017\Projekty_2017\Praga\zdjęcia\2S64_Goleniow\DJI_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raporty2017\Projekty_2017\Praga\zdjęcia\2S64_Goleniow\DJI_02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5A0019C3" wp14:editId="50E932C4">
            <wp:simplePos x="0" y="0"/>
            <wp:positionH relativeFrom="column">
              <wp:posOffset>2997835</wp:posOffset>
            </wp:positionH>
            <wp:positionV relativeFrom="paragraph">
              <wp:posOffset>-55880</wp:posOffset>
            </wp:positionV>
            <wp:extent cx="960755" cy="719455"/>
            <wp:effectExtent l="0" t="0" r="0" b="4445"/>
            <wp:wrapNone/>
            <wp:docPr id="3" name="Obraz 3" descr="G:\raporty2017\Projekty_2017\Praga\zdjęcia\2P7P_Business_Garden\DJI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raporty2017\Projekty_2017\Praga\zdjęcia\2P7P_Business_Garden\DJI_01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D4D7CBF" wp14:editId="40B7624F">
            <wp:simplePos x="0" y="0"/>
            <wp:positionH relativeFrom="column">
              <wp:posOffset>1290955</wp:posOffset>
            </wp:positionH>
            <wp:positionV relativeFrom="paragraph">
              <wp:posOffset>-55880</wp:posOffset>
            </wp:positionV>
            <wp:extent cx="1080770" cy="719455"/>
            <wp:effectExtent l="0" t="0" r="5080" b="4445"/>
            <wp:wrapNone/>
            <wp:docPr id="2" name="Obraz 2" descr="G:\raporty2017\Projekty_2017\Zdjęcia\Obwodnica Bełchatowa\DJI_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aporty2017\Projekty_2017\Zdjęcia\Obwodnica Bełchatowa\DJI_02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19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A5F">
        <w:rPr>
          <w:rFonts w:ascii="Tahoma" w:eastAsia="Times New Roman" w:hAnsi="Tahoma" w:cs="Tahoma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6435002" wp14:editId="6F61385C">
            <wp:simplePos x="0" y="0"/>
            <wp:positionH relativeFrom="column">
              <wp:posOffset>3810</wp:posOffset>
            </wp:positionH>
            <wp:positionV relativeFrom="paragraph">
              <wp:posOffset>-52705</wp:posOffset>
            </wp:positionV>
            <wp:extent cx="1315720" cy="719455"/>
            <wp:effectExtent l="0" t="0" r="0" b="4445"/>
            <wp:wrapNone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719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A5F">
        <w:rPr>
          <w:rFonts w:ascii="Tahoma" w:eastAsia="Times New Roman" w:hAnsi="Tahoma" w:cs="Tahom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BC273E" wp14:editId="703A5F3F">
            <wp:simplePos x="0" y="0"/>
            <wp:positionH relativeFrom="column">
              <wp:posOffset>3910965</wp:posOffset>
            </wp:positionH>
            <wp:positionV relativeFrom="paragraph">
              <wp:posOffset>-50800</wp:posOffset>
            </wp:positionV>
            <wp:extent cx="1258570" cy="719455"/>
            <wp:effectExtent l="0" t="0" r="0" b="4445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719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A5F">
        <w:rPr>
          <w:rFonts w:ascii="Tahoma" w:eastAsia="Times New Roman" w:hAnsi="Tahoma" w:cs="Tahoma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A64D91E" wp14:editId="59EA16A9">
            <wp:simplePos x="0" y="0"/>
            <wp:positionH relativeFrom="column">
              <wp:posOffset>2327910</wp:posOffset>
            </wp:positionH>
            <wp:positionV relativeFrom="paragraph">
              <wp:posOffset>-43815</wp:posOffset>
            </wp:positionV>
            <wp:extent cx="719455" cy="719455"/>
            <wp:effectExtent l="0" t="0" r="4445" b="4445"/>
            <wp:wrapNone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00432" w14:textId="77777777" w:rsidR="00656A5F" w:rsidRDefault="00656A5F" w:rsidP="004733BF">
      <w:pPr>
        <w:autoSpaceDE w:val="0"/>
        <w:autoSpaceDN w:val="0"/>
        <w:adjustRightInd w:val="0"/>
        <w:spacing w:after="0"/>
        <w:jc w:val="right"/>
        <w:rPr>
          <w:rFonts w:ascii="Tahoma" w:eastAsia="Times New Roman" w:hAnsi="Tahoma" w:cs="Tahoma"/>
          <w:lang w:eastAsia="pl-PL"/>
        </w:rPr>
      </w:pPr>
    </w:p>
    <w:p w14:paraId="341DAD22" w14:textId="77777777" w:rsidR="00656A5F" w:rsidRDefault="00656A5F" w:rsidP="004733BF">
      <w:pPr>
        <w:autoSpaceDE w:val="0"/>
        <w:autoSpaceDN w:val="0"/>
        <w:adjustRightInd w:val="0"/>
        <w:spacing w:after="0"/>
        <w:jc w:val="right"/>
        <w:rPr>
          <w:rFonts w:ascii="Tahoma" w:eastAsia="Times New Roman" w:hAnsi="Tahoma" w:cs="Tahoma"/>
          <w:lang w:eastAsia="pl-PL"/>
        </w:rPr>
      </w:pPr>
    </w:p>
    <w:p w14:paraId="7187C951" w14:textId="77777777" w:rsidR="00656A5F" w:rsidRDefault="00413448" w:rsidP="004733BF">
      <w:pPr>
        <w:autoSpaceDE w:val="0"/>
        <w:autoSpaceDN w:val="0"/>
        <w:adjustRightInd w:val="0"/>
        <w:spacing w:after="0"/>
        <w:jc w:val="right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4252B" wp14:editId="76C298F1">
                <wp:simplePos x="0" y="0"/>
                <wp:positionH relativeFrom="column">
                  <wp:posOffset>-5292</wp:posOffset>
                </wp:positionH>
                <wp:positionV relativeFrom="paragraph">
                  <wp:posOffset>170815</wp:posOffset>
                </wp:positionV>
                <wp:extent cx="6316133" cy="287867"/>
                <wp:effectExtent l="0" t="0" r="27940" b="1714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133" cy="2878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167D6" w14:textId="1121DAE3" w:rsidR="00413448" w:rsidRPr="00FD55B4" w:rsidRDefault="00FD55B4" w:rsidP="00FD55B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</w:rPr>
                            </w:pPr>
                            <w:r w:rsidRPr="00FD55B4">
                              <w:rPr>
                                <w:rFonts w:ascii="Tahoma" w:hAnsi="Tahoma" w:cs="Tahoma"/>
                                <w:color w:val="404040" w:themeColor="text1" w:themeTint="BF"/>
                              </w:rPr>
                              <w:t xml:space="preserve">Informacja prasowa do </w:t>
                            </w:r>
                            <w:r w:rsidRPr="00FD55B4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lang w:eastAsia="pl-PL"/>
                              </w:rPr>
                              <w:t>danych finansowych</w:t>
                            </w:r>
                            <w:r w:rsidRPr="00FD55B4">
                              <w:rPr>
                                <w:rFonts w:ascii="Tahoma" w:eastAsia="Times New Roman" w:hAnsi="Tahoma" w:cs="Tahoma"/>
                                <w:b/>
                                <w:color w:val="404040" w:themeColor="text1" w:themeTint="BF"/>
                                <w:lang w:eastAsia="pl-PL"/>
                              </w:rPr>
                              <w:t xml:space="preserve"> Grupy Budimex za </w:t>
                            </w:r>
                            <w:r w:rsidR="008D2215">
                              <w:rPr>
                                <w:rFonts w:ascii="Tahoma" w:eastAsia="Times New Roman" w:hAnsi="Tahoma" w:cs="Tahoma"/>
                                <w:b/>
                                <w:color w:val="404040" w:themeColor="text1" w:themeTint="BF"/>
                                <w:lang w:eastAsia="pl-PL"/>
                              </w:rPr>
                              <w:t>1</w:t>
                            </w:r>
                            <w:r w:rsidRPr="00FD55B4">
                              <w:rPr>
                                <w:rFonts w:ascii="Tahoma" w:eastAsia="Times New Roman" w:hAnsi="Tahoma" w:cs="Tahoma"/>
                                <w:b/>
                                <w:color w:val="404040" w:themeColor="text1" w:themeTint="BF"/>
                                <w:lang w:eastAsia="pl-PL"/>
                              </w:rPr>
                              <w:t xml:space="preserve"> </w:t>
                            </w:r>
                            <w:r w:rsidR="00E8287F">
                              <w:rPr>
                                <w:rFonts w:ascii="Tahoma" w:eastAsia="Times New Roman" w:hAnsi="Tahoma" w:cs="Tahoma"/>
                                <w:b/>
                                <w:color w:val="404040" w:themeColor="text1" w:themeTint="BF"/>
                                <w:lang w:eastAsia="pl-PL"/>
                              </w:rPr>
                              <w:t>półrocze</w:t>
                            </w:r>
                            <w:r w:rsidRPr="00FD55B4">
                              <w:rPr>
                                <w:rFonts w:ascii="Tahoma" w:eastAsia="Times New Roman" w:hAnsi="Tahoma" w:cs="Tahoma"/>
                                <w:b/>
                                <w:color w:val="404040" w:themeColor="text1" w:themeTint="BF"/>
                                <w:lang w:eastAsia="pl-PL"/>
                              </w:rPr>
                              <w:t xml:space="preserve"> 201</w:t>
                            </w:r>
                            <w:r w:rsidR="008D2215">
                              <w:rPr>
                                <w:rFonts w:ascii="Tahoma" w:eastAsia="Times New Roman" w:hAnsi="Tahoma" w:cs="Tahoma"/>
                                <w:b/>
                                <w:color w:val="404040" w:themeColor="text1" w:themeTint="BF"/>
                                <w:lang w:eastAsia="pl-PL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74252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.4pt;margin-top:13.45pt;width:497.35pt;height:22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" fillcolor="#d8d8d8 [2732]" strokecolor="#5a5a5a [2109]" strokeweight=".5pt">
                <v:textbox>
                  <w:txbxContent>
                    <w:p w14:paraId="516167D6" w14:textId="1121DAE3" w:rsidR="00413448" w:rsidRPr="00FD55B4" w:rsidRDefault="00FD55B4" w:rsidP="00FD55B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404040" w:themeColor="text1" w:themeTint="BF"/>
                        </w:rPr>
                      </w:pPr>
                      <w:r w:rsidRPr="00FD55B4">
                        <w:rPr>
                          <w:rFonts w:ascii="Tahoma" w:hAnsi="Tahoma" w:cs="Tahoma"/>
                          <w:color w:val="404040" w:themeColor="text1" w:themeTint="BF"/>
                        </w:rPr>
                        <w:t xml:space="preserve">Informacja prasowa do </w:t>
                      </w:r>
                      <w:r w:rsidRPr="00FD55B4">
                        <w:rPr>
                          <w:rFonts w:ascii="Tahoma" w:eastAsia="Times New Roman" w:hAnsi="Tahoma" w:cs="Tahoma"/>
                          <w:color w:val="404040" w:themeColor="text1" w:themeTint="BF"/>
                          <w:lang w:eastAsia="pl-PL"/>
                        </w:rPr>
                        <w:t>danych finansowych</w:t>
                      </w:r>
                      <w:r w:rsidRPr="00FD55B4">
                        <w:rPr>
                          <w:rFonts w:ascii="Tahoma" w:eastAsia="Times New Roman" w:hAnsi="Tahoma" w:cs="Tahoma"/>
                          <w:b/>
                          <w:color w:val="404040" w:themeColor="text1" w:themeTint="BF"/>
                          <w:lang w:eastAsia="pl-PL"/>
                        </w:rPr>
                        <w:t xml:space="preserve"> Grupy Budimex za </w:t>
                      </w:r>
                      <w:r w:rsidR="008D2215">
                        <w:rPr>
                          <w:rFonts w:ascii="Tahoma" w:eastAsia="Times New Roman" w:hAnsi="Tahoma" w:cs="Tahoma"/>
                          <w:b/>
                          <w:color w:val="404040" w:themeColor="text1" w:themeTint="BF"/>
                          <w:lang w:eastAsia="pl-PL"/>
                        </w:rPr>
                        <w:t>1</w:t>
                      </w:r>
                      <w:r w:rsidRPr="00FD55B4">
                        <w:rPr>
                          <w:rFonts w:ascii="Tahoma" w:eastAsia="Times New Roman" w:hAnsi="Tahoma" w:cs="Tahoma"/>
                          <w:b/>
                          <w:color w:val="404040" w:themeColor="text1" w:themeTint="BF"/>
                          <w:lang w:eastAsia="pl-PL"/>
                        </w:rPr>
                        <w:t xml:space="preserve"> </w:t>
                      </w:r>
                      <w:r w:rsidR="00E8287F">
                        <w:rPr>
                          <w:rFonts w:ascii="Tahoma" w:eastAsia="Times New Roman" w:hAnsi="Tahoma" w:cs="Tahoma"/>
                          <w:b/>
                          <w:color w:val="404040" w:themeColor="text1" w:themeTint="BF"/>
                          <w:lang w:eastAsia="pl-PL"/>
                        </w:rPr>
                        <w:t>półrocze</w:t>
                      </w:r>
                      <w:r w:rsidRPr="00FD55B4">
                        <w:rPr>
                          <w:rFonts w:ascii="Tahoma" w:eastAsia="Times New Roman" w:hAnsi="Tahoma" w:cs="Tahoma"/>
                          <w:b/>
                          <w:color w:val="404040" w:themeColor="text1" w:themeTint="BF"/>
                          <w:lang w:eastAsia="pl-PL"/>
                        </w:rPr>
                        <w:t xml:space="preserve"> 201</w:t>
                      </w:r>
                      <w:r w:rsidR="008D2215">
                        <w:rPr>
                          <w:rFonts w:ascii="Tahoma" w:eastAsia="Times New Roman" w:hAnsi="Tahoma" w:cs="Tahoma"/>
                          <w:b/>
                          <w:color w:val="404040" w:themeColor="text1" w:themeTint="BF"/>
                          <w:lang w:eastAsia="pl-PL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1430BB6" w14:textId="77777777" w:rsidR="004E5465" w:rsidRPr="00284F30" w:rsidRDefault="00C43958" w:rsidP="00284F30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br/>
      </w:r>
    </w:p>
    <w:p w14:paraId="0424EC29" w14:textId="77777777" w:rsidR="003D7DEF" w:rsidRPr="003D7DEF" w:rsidRDefault="003D7DEF" w:rsidP="00DA29A0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lang w:eastAsia="pl-PL"/>
        </w:rPr>
      </w:pPr>
      <w:r w:rsidRPr="003D7DEF"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lang w:eastAsia="pl-PL"/>
        </w:rPr>
        <w:t>Sytuacja rynkowa:</w:t>
      </w:r>
    </w:p>
    <w:p w14:paraId="5FFD6C61" w14:textId="1C14A10A" w:rsidR="00906090" w:rsidRPr="00721047" w:rsidRDefault="00C43958" w:rsidP="007210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357"/>
        <w:contextualSpacing w:val="0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 w:rsidRPr="00E01B6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Produkcja budowlano-montażowa </w:t>
      </w:r>
      <w:r w:rsidR="00360A1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wzrosła w</w:t>
      </w:r>
      <w:r w:rsidRPr="00E01B6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  <w:r w:rsidR="000B17A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1 </w:t>
      </w:r>
      <w:r w:rsidR="00E8287F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poł</w:t>
      </w:r>
      <w:r w:rsidR="00B533A0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.</w:t>
      </w:r>
      <w:r w:rsidR="000B17A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  <w:r w:rsidRPr="00E01B6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201</w:t>
      </w:r>
      <w:r w:rsidR="000B17A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9</w:t>
      </w:r>
      <w:r w:rsidRPr="00E01B6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roku o </w:t>
      </w:r>
      <w:r w:rsidR="00EB294C" w:rsidRPr="00EB294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10</w:t>
      </w:r>
      <w:r w:rsidRPr="00E01B6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%</w:t>
      </w:r>
      <w:r w:rsidR="00A42C70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osiągając poziom </w:t>
      </w:r>
      <w:r w:rsidR="00EB294C" w:rsidRPr="00EB294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43</w:t>
      </w:r>
      <w:r w:rsidR="00EB294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,1</w:t>
      </w:r>
      <w:r w:rsidR="00A42C70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mld złotych</w:t>
      </w:r>
      <w:r w:rsidR="00721047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. </w:t>
      </w:r>
      <w:r w:rsidR="00721047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br/>
      </w:r>
      <w:r w:rsidR="00A237FB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Miesięczny o</w:t>
      </w:r>
      <w:r w:rsidR="00721047" w:rsidRPr="00721047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dczyt dynamiki rynku </w:t>
      </w:r>
      <w:r w:rsidR="00A237FB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w czerwcu </w:t>
      </w:r>
      <w:r w:rsidR="00721047" w:rsidRPr="00721047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był </w:t>
      </w:r>
      <w:r w:rsidR="00A237FB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jednak </w:t>
      </w:r>
      <w:r w:rsidR="00721047" w:rsidRPr="00721047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znacznie niższy, co jest </w:t>
      </w:r>
      <w:r w:rsidR="00721047" w:rsidRPr="00721047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negatywnym sygnałem</w:t>
      </w:r>
      <w:r w:rsidR="00721047" w:rsidRPr="00721047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i może oznaczać spowolnienie w zamówieniach i </w:t>
      </w:r>
      <w:r w:rsidR="00721047" w:rsidRPr="00721047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kumulację prac </w:t>
      </w:r>
      <w:r w:rsidR="00A237FB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br/>
      </w:r>
      <w:bookmarkStart w:id="0" w:name="_GoBack"/>
      <w:bookmarkEnd w:id="0"/>
      <w:r w:rsidR="00721047" w:rsidRPr="00721047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w kolejnych okresach</w:t>
      </w:r>
    </w:p>
    <w:p w14:paraId="1DC881B1" w14:textId="1A270C58" w:rsidR="00E8287F" w:rsidRDefault="00E8287F" w:rsidP="007210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357"/>
        <w:contextualSpacing w:val="0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Trudna sytuacja rynkowa przekłada się na </w:t>
      </w:r>
      <w:r w:rsidRPr="0037471A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istotne pogorszenie kondycji finansowej dużych podmiotów</w:t>
      </w:r>
      <w:r w:rsidR="004E3919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,</w:t>
      </w:r>
      <w:r w:rsidR="003D6FC3" w:rsidRPr="003D6FC3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</w:t>
      </w:r>
      <w:r w:rsidR="003D6FC3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które realizują największe zlecenia, w dużej mierze bazując na usługach podwykonawczych</w:t>
      </w:r>
    </w:p>
    <w:p w14:paraId="514B41CB" w14:textId="413C721B" w:rsidR="00E8287F" w:rsidRDefault="003D6FC3" w:rsidP="007210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357"/>
        <w:contextualSpacing w:val="0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Część generalnych wykonawców zaczyna sygnalizować </w:t>
      </w:r>
      <w:r w:rsidRPr="003D6FC3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problemy z płynnością finansową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, pojawiają się pierwsze </w:t>
      </w:r>
      <w:r w:rsidRPr="003D6FC3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wnioski o ogłoszenie upadłości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dużych po</w:t>
      </w:r>
      <w:r w:rsidR="003230F8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d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miotów</w:t>
      </w:r>
    </w:p>
    <w:p w14:paraId="6C5C250B" w14:textId="25175DB9" w:rsidR="003D6FC3" w:rsidRDefault="00C832BF" w:rsidP="007210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357"/>
        <w:contextualSpacing w:val="0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W</w:t>
      </w:r>
      <w:r w:rsidR="003D6FC3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ostatnich miesiąca</w:t>
      </w:r>
      <w:r w:rsidR="00B018F8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ch</w:t>
      </w:r>
      <w:r w:rsidR="003D6FC3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</w:t>
      </w:r>
      <w:r w:rsidR="003D6FC3" w:rsidRPr="003D6FC3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rozwiązane zostały liczne kontrakty infrastrukturalne</w:t>
      </w:r>
      <w:r w:rsidR="003D6FC3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, m.in. na odcinki dróg ekspresowych S5, S61, S7, S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3</w:t>
      </w:r>
      <w:r w:rsidR="003D6FC3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czy na odcinek autostrady A1</w:t>
      </w:r>
    </w:p>
    <w:p w14:paraId="5018C7F4" w14:textId="77777777" w:rsidR="003D7DEF" w:rsidRDefault="003D7DEF" w:rsidP="00DA29A0">
      <w:pPr>
        <w:autoSpaceDE w:val="0"/>
        <w:autoSpaceDN w:val="0"/>
        <w:adjustRightInd w:val="0"/>
        <w:spacing w:before="120" w:after="120" w:line="288" w:lineRule="auto"/>
        <w:ind w:left="68"/>
        <w:jc w:val="both"/>
        <w:rPr>
          <w:rFonts w:ascii="Tahoma" w:eastAsia="Times New Roman" w:hAnsi="Tahoma" w:cs="Tahoma"/>
          <w:color w:val="984806" w:themeColor="accent6" w:themeShade="80"/>
          <w:sz w:val="20"/>
          <w:szCs w:val="20"/>
          <w:lang w:eastAsia="pl-PL"/>
        </w:rPr>
      </w:pPr>
      <w:r w:rsidRPr="003D7DEF"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lang w:eastAsia="pl-PL"/>
        </w:rPr>
        <w:t>Wyniki Grupy Budimex:</w:t>
      </w:r>
      <w:r>
        <w:rPr>
          <w:rFonts w:ascii="Tahoma" w:eastAsia="Times New Roman" w:hAnsi="Tahoma" w:cs="Tahoma"/>
          <w:color w:val="984806" w:themeColor="accent6" w:themeShade="80"/>
          <w:sz w:val="20"/>
          <w:szCs w:val="20"/>
          <w:lang w:eastAsia="pl-PL"/>
        </w:rPr>
        <w:t xml:space="preserve"> </w:t>
      </w:r>
    </w:p>
    <w:p w14:paraId="61BBAA9D" w14:textId="0CC893A3" w:rsidR="003D7DEF" w:rsidRPr="003D7DEF" w:rsidRDefault="003D7DEF" w:rsidP="007210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357"/>
        <w:contextualSpacing w:val="0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 w:rsidRPr="003D7DEF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Sprzedaż Grupy </w:t>
      </w:r>
      <w:r w:rsidR="00360A1C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w</w:t>
      </w:r>
      <w:r w:rsidRPr="003D7DEF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</w:t>
      </w:r>
      <w:r w:rsidR="00B533A0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1 </w:t>
      </w:r>
      <w:r w:rsidR="0037471A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poł</w:t>
      </w:r>
      <w:r w:rsidR="00B533A0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. 2019</w:t>
      </w:r>
      <w:r w:rsidRPr="003D7DEF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</w:t>
      </w:r>
      <w:r w:rsidR="00360A1C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roku </w:t>
      </w:r>
      <w:r w:rsidR="00A862CF" w:rsidRPr="00A862CF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była zbliżona do poziomu z 1 poł</w:t>
      </w:r>
      <w:r w:rsidR="006B25BB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.</w:t>
      </w:r>
      <w:r w:rsidR="00A862CF" w:rsidRPr="00A862CF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2018 roku</w:t>
      </w:r>
      <w:r w:rsidR="00A862CF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  <w:r w:rsidR="00360A1C" w:rsidRPr="00360A1C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i osiągnęła</w:t>
      </w:r>
      <w:r w:rsidR="00B533A0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  <w:r w:rsidR="00360A1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poziom </w:t>
      </w:r>
      <w:r w:rsidR="00F47B88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3,2</w:t>
      </w:r>
      <w:r w:rsidR="00C832BF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5</w:t>
      </w:r>
      <w:r w:rsidR="00360A1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mld złotych</w:t>
      </w:r>
    </w:p>
    <w:p w14:paraId="778D341B" w14:textId="59934C29" w:rsidR="001568E2" w:rsidRDefault="005029FD" w:rsidP="007210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357"/>
        <w:contextualSpacing w:val="0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 w:rsidRPr="00A862CF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R</w:t>
      </w:r>
      <w:r w:rsidR="003D7DEF" w:rsidRPr="00A862CF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entowność </w:t>
      </w:r>
      <w:r w:rsidR="003D7DEF" w:rsidRPr="003D7DEF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zysku brutto </w:t>
      </w:r>
      <w:r w:rsidR="00E11262" w:rsidRPr="00A862CF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Grupy Budimex </w:t>
      </w:r>
      <w:r w:rsidR="003D7DEF" w:rsidRPr="00A862CF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wyniosła</w:t>
      </w:r>
      <w:r w:rsidR="003D7DEF" w:rsidRPr="003D7DEF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  <w:r w:rsidR="00B533A0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3,3</w:t>
      </w:r>
      <w:r w:rsidR="003D7DEF" w:rsidRPr="003D7DEF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%</w:t>
      </w:r>
      <w:r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</w:p>
    <w:p w14:paraId="7F14DF4C" w14:textId="01D2C20A" w:rsidR="00D6167C" w:rsidRDefault="00F47B88" w:rsidP="007210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357"/>
        <w:contextualSpacing w:val="0"/>
        <w:jc w:val="both"/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Segment budowlany pozostaje pod presją inflacji kosztowej, </w:t>
      </w:r>
      <w:r w:rsidR="00CF6C7E" w:rsidRPr="00F47B88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rentowność zysku brutto </w:t>
      </w:r>
      <w:r w:rsidR="00E11262" w:rsidRPr="00F47B88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spadła do</w:t>
      </w:r>
      <w:r w:rsidR="00CF6C7E" w:rsidRPr="00F47B88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1,</w:t>
      </w:r>
      <w:r w:rsidRPr="00F47B88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7</w:t>
      </w:r>
      <w:r w:rsidR="00CF6C7E" w:rsidRPr="00F47B88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%</w:t>
      </w:r>
      <w:r w:rsidR="00CF6C7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  <w:r w:rsidR="00C832BF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br/>
      </w:r>
      <w:r w:rsidR="00CF6C7E" w:rsidRPr="00CF6C7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(</w:t>
      </w:r>
      <w:r w:rsidR="006F583C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w porównaniu do</w:t>
      </w:r>
      <w:r w:rsidR="00CF6C7E" w:rsidRPr="00CF6C7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3,6</w:t>
      </w:r>
      <w:r w:rsidR="00CF6C7E" w:rsidRPr="00CF6C7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% w 1 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poł</w:t>
      </w:r>
      <w:r w:rsidR="00CF6C7E" w:rsidRPr="00CF6C7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. 2018 roku)</w:t>
      </w:r>
    </w:p>
    <w:p w14:paraId="5EC7719A" w14:textId="004C60A2" w:rsidR="001568E2" w:rsidRPr="00E11262" w:rsidRDefault="00B77B27" w:rsidP="007210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357"/>
        <w:contextualSpacing w:val="0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 w:rsidRPr="00B77B27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Segment deweloperski osiągnął </w:t>
      </w:r>
      <w:r w:rsidR="00F47B88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bardzo dobrą </w:t>
      </w:r>
      <w:r w:rsidRPr="00B77B27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rentowność zysku brutto na poziomie </w:t>
      </w:r>
      <w:r w:rsidR="002F77F5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17,6</w:t>
      </w:r>
      <w:r w:rsidRPr="00B77B27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%</w:t>
      </w:r>
      <w:r w:rsidRPr="00B77B27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</w:t>
      </w:r>
      <w:r w:rsidR="00271E2F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poprawiając tym samym wynik z 1 </w:t>
      </w:r>
      <w:r w:rsidR="00882432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poł</w:t>
      </w:r>
      <w:r w:rsidR="00271E2F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. 2018 roku kiedy rentowność wyniosła 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1</w:t>
      </w:r>
      <w:r w:rsidR="00882432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,</w:t>
      </w:r>
      <w:r w:rsidR="00882432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% </w:t>
      </w:r>
    </w:p>
    <w:p w14:paraId="245DF8B0" w14:textId="77777777" w:rsidR="003D7DEF" w:rsidRPr="003D7DEF" w:rsidRDefault="003D7DEF" w:rsidP="00DA29A0">
      <w:pPr>
        <w:autoSpaceDE w:val="0"/>
        <w:autoSpaceDN w:val="0"/>
        <w:adjustRightInd w:val="0"/>
        <w:spacing w:before="120" w:after="120" w:line="288" w:lineRule="auto"/>
        <w:ind w:left="68"/>
        <w:jc w:val="both"/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lang w:eastAsia="pl-PL"/>
        </w:rPr>
      </w:pPr>
      <w:r w:rsidRPr="003D7DEF"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lang w:eastAsia="pl-PL"/>
        </w:rPr>
        <w:t>Sytuacja gotówkowa Grupy Budimex:</w:t>
      </w:r>
    </w:p>
    <w:p w14:paraId="441A4650" w14:textId="2747EED3" w:rsidR="00E11262" w:rsidRPr="00E11262" w:rsidRDefault="001353CA" w:rsidP="007210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</w:pPr>
      <w:r w:rsidRPr="001353CA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W pierwszym </w:t>
      </w:r>
      <w:r w:rsidR="007C3B26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półroczu</w:t>
      </w:r>
      <w:r w:rsidRPr="001353CA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201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9</w:t>
      </w:r>
      <w:r w:rsidRPr="001353CA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roku odnotowaliśmy </w:t>
      </w:r>
      <w:r w:rsidR="001A018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typowy dla tego okresu</w:t>
      </w:r>
      <w:r w:rsidRPr="00CF6C7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spadek </w:t>
      </w:r>
      <w:r w:rsidR="00E11262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salda</w:t>
      </w:r>
      <w:r w:rsidRPr="00CF6C7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  <w:r w:rsidRPr="00E11262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gotówki</w:t>
      </w:r>
      <w:r w:rsidR="00CF6C7E" w:rsidRPr="00E11262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  <w:r w:rsidR="00E11262" w:rsidRPr="00E11262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netto</w:t>
      </w:r>
      <w:r w:rsidR="00E11262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</w:t>
      </w:r>
      <w:r w:rsidR="00CF6C7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do poziomu </w:t>
      </w:r>
      <w:r w:rsidR="007C3B26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264</w:t>
      </w:r>
      <w:r w:rsidR="00CF6C7E" w:rsidRPr="00CF6C7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mln złotych</w:t>
      </w:r>
    </w:p>
    <w:p w14:paraId="4D7B9106" w14:textId="0D6A9CC7" w:rsidR="007C3B26" w:rsidRPr="007C3B26" w:rsidRDefault="007C3B26" w:rsidP="007210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 w:rsidRPr="00DA29A0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Saldo 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gotówki</w:t>
      </w:r>
      <w:r w:rsidRPr="00DA29A0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netto </w:t>
      </w:r>
      <w:r w:rsidRPr="00DA29A0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spadło m.in. w wyniku </w:t>
      </w:r>
      <w:r w:rsidRPr="001568E2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wypłaty</w:t>
      </w:r>
      <w:r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dywidendy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w wysokości 161 mln złotych </w:t>
      </w:r>
      <w:r w:rsidRPr="007C3B26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oraz sezonowego </w:t>
      </w:r>
      <w:r w:rsidRPr="00721047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wzrostu zaangażowania kapitału obrotowego</w:t>
      </w:r>
      <w:r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  <w:r w:rsidRPr="007C3B26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w części budowlanej</w:t>
      </w:r>
    </w:p>
    <w:p w14:paraId="3B4263D9" w14:textId="0EDEA16B" w:rsidR="00CF6C7E" w:rsidRDefault="00721047" w:rsidP="007210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80"/>
        <w:ind w:left="425" w:hanging="357"/>
        <w:contextualSpacing w:val="0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C</w:t>
      </w:r>
      <w:r w:rsidR="007C3B26" w:rsidRPr="00E01B6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iągle obserwujemy </w:t>
      </w:r>
      <w:r w:rsidR="007C3B26" w:rsidRPr="00E01B6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opóźnienia po stronie inwestorów w procesie akceptacji i fakturowania</w:t>
      </w:r>
      <w:r w:rsidR="007C3B26" w:rsidRPr="00E01B6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wykonanych robó</w:t>
      </w:r>
      <w:r w:rsidR="007C3B26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t</w:t>
      </w:r>
    </w:p>
    <w:p w14:paraId="2F86FDDD" w14:textId="5C8B2D0B" w:rsidR="001A018E" w:rsidRDefault="00C832BF" w:rsidP="007210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Jednocześnie</w:t>
      </w:r>
      <w:r w:rsidR="001A018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coraz </w:t>
      </w:r>
      <w:r w:rsidR="001A018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trudniejsza sytuacja płynnościowa 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br/>
      </w:r>
      <w:r w:rsidR="001A018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w branży wymaga </w:t>
      </w:r>
      <w:r w:rsidR="001A018E" w:rsidRPr="007F0C16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utrzymania polityki</w:t>
      </w:r>
      <w:r w:rsidR="001A018E" w:rsidRPr="00DA29A0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finansowania podwykonawców</w:t>
      </w:r>
      <w:r w:rsidR="001A018E" w:rsidRPr="00DA29A0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poprzez wcześniejsze płatności oraz </w:t>
      </w:r>
      <w:r w:rsidR="00737720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akceptację częstszego</w:t>
      </w:r>
      <w:r w:rsidR="001A018E" w:rsidRPr="00DA29A0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fakturowani</w:t>
      </w:r>
      <w:r w:rsidR="00411304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a</w:t>
      </w:r>
      <w:r w:rsidR="001A018E" w:rsidRPr="00DA29A0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</w:t>
      </w:r>
      <w:r w:rsidR="00411304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z</w:t>
      </w:r>
      <w:r w:rsidR="001A018E" w:rsidRPr="00DA29A0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realizowanych prac</w:t>
      </w:r>
    </w:p>
    <w:p w14:paraId="3E7CE29B" w14:textId="352C1714" w:rsidR="00B018F8" w:rsidRDefault="00B018F8" w:rsidP="00B018F8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</w:p>
    <w:p w14:paraId="777E1A40" w14:textId="3BC20E19" w:rsidR="00B018F8" w:rsidRDefault="00B018F8" w:rsidP="00B018F8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</w:p>
    <w:p w14:paraId="1EA3B0DF" w14:textId="77777777" w:rsidR="00B018F8" w:rsidRPr="00B018F8" w:rsidRDefault="00B018F8" w:rsidP="00B018F8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</w:p>
    <w:p w14:paraId="05D0C82B" w14:textId="41852173" w:rsidR="00B018F8" w:rsidRDefault="00B018F8" w:rsidP="00B018F8">
      <w:pPr>
        <w:autoSpaceDE w:val="0"/>
        <w:autoSpaceDN w:val="0"/>
        <w:adjustRightInd w:val="0"/>
        <w:spacing w:before="180" w:after="180" w:line="288" w:lineRule="auto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</w:p>
    <w:p w14:paraId="2B612041" w14:textId="33370FC6" w:rsidR="00721047" w:rsidRPr="00B018F8" w:rsidRDefault="00721047" w:rsidP="00B018F8">
      <w:pPr>
        <w:autoSpaceDE w:val="0"/>
        <w:autoSpaceDN w:val="0"/>
        <w:adjustRightInd w:val="0"/>
        <w:spacing w:before="180" w:after="180" w:line="288" w:lineRule="auto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 w:rsidRPr="00EB294C">
        <w:rPr>
          <w:noProof/>
        </w:rPr>
        <w:drawing>
          <wp:anchor distT="0" distB="0" distL="114300" distR="114300" simplePos="0" relativeHeight="251769856" behindDoc="0" locked="0" layoutInCell="1" allowOverlap="1" wp14:anchorId="6C391CDD" wp14:editId="6264E895">
            <wp:simplePos x="0" y="0"/>
            <wp:positionH relativeFrom="column">
              <wp:align>left</wp:align>
            </wp:positionH>
            <wp:positionV relativeFrom="paragraph">
              <wp:posOffset>100965</wp:posOffset>
            </wp:positionV>
            <wp:extent cx="2520000" cy="1792544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79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E5D96" w14:textId="7C285AF9" w:rsidR="004F1EF0" w:rsidRDefault="004F1EF0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213C866D" w14:textId="399E69F7" w:rsidR="004F1EF0" w:rsidRDefault="004F1EF0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075C2EF2" w14:textId="4824BD54" w:rsidR="004F1EF0" w:rsidRDefault="004F1EF0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75DA63E9" w14:textId="294FFD40" w:rsidR="003178FB" w:rsidRDefault="003178FB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5637E4D8" w14:textId="77777777" w:rsidR="003178FB" w:rsidRDefault="003178FB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39530E68" w14:textId="77777777" w:rsidR="003178FB" w:rsidRDefault="003178FB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425C80C0" w14:textId="481F3188" w:rsidR="003178FB" w:rsidRDefault="003178FB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6FBC1907" w14:textId="77777777" w:rsidR="00721047" w:rsidRDefault="00721047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33493E94" w14:textId="77777777" w:rsidR="00B018F8" w:rsidRDefault="00B018F8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0BDFF6D3" w14:textId="5307A150" w:rsidR="003178FB" w:rsidRDefault="00C832BF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  <w:r w:rsidRPr="004F1EF0">
        <w:rPr>
          <w:noProof/>
        </w:rPr>
        <w:drawing>
          <wp:anchor distT="0" distB="0" distL="114300" distR="114300" simplePos="0" relativeHeight="251761664" behindDoc="0" locked="0" layoutInCell="1" allowOverlap="1" wp14:anchorId="106E4778" wp14:editId="5F2392BA">
            <wp:simplePos x="0" y="0"/>
            <wp:positionH relativeFrom="column">
              <wp:posOffset>60325</wp:posOffset>
            </wp:positionH>
            <wp:positionV relativeFrom="paragraph">
              <wp:posOffset>163195</wp:posOffset>
            </wp:positionV>
            <wp:extent cx="2520000" cy="1776436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77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CB287" w14:textId="4490AFEE" w:rsidR="003178FB" w:rsidRDefault="003178FB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4429AF86" w14:textId="10922130" w:rsidR="003178FB" w:rsidRDefault="003178FB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0E3F704A" w14:textId="77777777" w:rsidR="003178FB" w:rsidRDefault="003178FB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32C37ABC" w14:textId="3AA7D0F2" w:rsidR="003178FB" w:rsidRDefault="003178FB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10484C73" w14:textId="510A84B7" w:rsidR="003178FB" w:rsidRDefault="003178FB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45E81069" w14:textId="77777777" w:rsidR="003178FB" w:rsidRDefault="003178FB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72CA6CA6" w14:textId="7BAEA076" w:rsidR="003178FB" w:rsidRDefault="00595BFA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  <w:r w:rsidRPr="007C3B26">
        <w:rPr>
          <w:noProof/>
        </w:rPr>
        <w:drawing>
          <wp:anchor distT="0" distB="0" distL="114300" distR="114300" simplePos="0" relativeHeight="251760640" behindDoc="0" locked="0" layoutInCell="1" allowOverlap="1" wp14:anchorId="1FEE5EF1" wp14:editId="2D34327E">
            <wp:simplePos x="0" y="0"/>
            <wp:positionH relativeFrom="column">
              <wp:posOffset>66675</wp:posOffset>
            </wp:positionH>
            <wp:positionV relativeFrom="paragraph">
              <wp:posOffset>277283</wp:posOffset>
            </wp:positionV>
            <wp:extent cx="2519680" cy="160083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2BF" w:rsidRPr="00DF3A12">
        <w:rPr>
          <w:noProof/>
          <w:color w:val="984806" w:themeColor="accent6" w:themeShade="80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E73498" wp14:editId="37C9D9B9">
                <wp:simplePos x="0" y="0"/>
                <wp:positionH relativeFrom="column">
                  <wp:posOffset>66675</wp:posOffset>
                </wp:positionH>
                <wp:positionV relativeFrom="paragraph">
                  <wp:posOffset>191135</wp:posOffset>
                </wp:positionV>
                <wp:extent cx="2519680" cy="210820"/>
                <wp:effectExtent l="0" t="0" r="13970" b="17780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4EB9E" w14:textId="77777777" w:rsidR="003D7DEF" w:rsidRPr="00F50FFF" w:rsidRDefault="003D7DEF" w:rsidP="003D7DEF">
                            <w:pPr>
                              <w:jc w:val="center"/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</w:rPr>
                            </w:pPr>
                            <w:r w:rsidRPr="00DA7E47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8"/>
                              </w:rPr>
                              <w:t>Pozycja gotówkowa netto</w:t>
                            </w:r>
                            <w:r w:rsidR="00F50FFF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8"/>
                              </w:rPr>
                              <w:t xml:space="preserve"> </w:t>
                            </w:r>
                            <w:r w:rsidR="00F50FFF" w:rsidRPr="00F50FFF"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</w:rPr>
                              <w:t>(mln złotych)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3498" id="Pole tekstowe 44" o:spid="_x0000_s1027" type="#_x0000_t202" style="position:absolute;left:0;text-align:left;margin-left:5.25pt;margin-top:15.05pt;width:198.4pt;height:1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" filled="f" strokecolor="#a5a5a5 [2092]" strokeweight=".5pt">
                <v:textbox inset="2mm,1mm,2mm,0">
                  <w:txbxContent>
                    <w:p w14:paraId="4EF4EB9E" w14:textId="77777777" w:rsidR="003D7DEF" w:rsidRPr="00F50FFF" w:rsidRDefault="003D7DEF" w:rsidP="003D7DEF">
                      <w:pPr>
                        <w:jc w:val="center"/>
                        <w:rPr>
                          <w:rFonts w:ascii="Tahoma" w:hAnsi="Tahoma" w:cs="Tahoma"/>
                          <w:color w:val="404040" w:themeColor="text1" w:themeTint="BF"/>
                          <w:sz w:val="18"/>
                        </w:rPr>
                      </w:pPr>
                      <w:r w:rsidRPr="00DA7E47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8"/>
                        </w:rPr>
                        <w:t>Pozycja gotówkowa netto</w:t>
                      </w:r>
                      <w:r w:rsidR="00F50FFF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8"/>
                        </w:rPr>
                        <w:t xml:space="preserve"> </w:t>
                      </w:r>
                      <w:r w:rsidR="00F50FFF" w:rsidRPr="00F50FFF">
                        <w:rPr>
                          <w:rFonts w:ascii="Tahoma" w:hAnsi="Tahoma" w:cs="Tahoma"/>
                          <w:color w:val="404040" w:themeColor="text1" w:themeTint="BF"/>
                          <w:sz w:val="18"/>
                        </w:rPr>
                        <w:t>(mln złotych)</w:t>
                      </w:r>
                    </w:p>
                  </w:txbxContent>
                </v:textbox>
              </v:shape>
            </w:pict>
          </mc:Fallback>
        </mc:AlternateContent>
      </w:r>
    </w:p>
    <w:p w14:paraId="5AB71AB5" w14:textId="488A4610" w:rsidR="003178FB" w:rsidRDefault="003178FB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3D887C14" w14:textId="3BC92593" w:rsidR="003178FB" w:rsidRDefault="003178FB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380CDB71" w14:textId="12AEDCB8" w:rsidR="003178FB" w:rsidRDefault="00156A21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  <w:r w:rsidRPr="00156A21">
        <w:t xml:space="preserve"> </w:t>
      </w:r>
    </w:p>
    <w:p w14:paraId="604B3F29" w14:textId="353F2056" w:rsidR="003178FB" w:rsidRDefault="003178FB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41C3022D" w14:textId="698484C9" w:rsidR="003178FB" w:rsidRDefault="003178FB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713762F8" w14:textId="2460FC4E" w:rsidR="003178FB" w:rsidRDefault="003178FB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</w:p>
    <w:p w14:paraId="74DCB023" w14:textId="239B317B" w:rsidR="003178FB" w:rsidRDefault="00595BFA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  <w:r w:rsidRPr="00DF3A12">
        <w:rPr>
          <w:noProof/>
          <w:color w:val="984806" w:themeColor="accent6" w:themeShade="80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9B5D5D" wp14:editId="3DC23922">
                <wp:simplePos x="0" y="0"/>
                <wp:positionH relativeFrom="column">
                  <wp:posOffset>82550</wp:posOffset>
                </wp:positionH>
                <wp:positionV relativeFrom="paragraph">
                  <wp:posOffset>101388</wp:posOffset>
                </wp:positionV>
                <wp:extent cx="2519680" cy="210820"/>
                <wp:effectExtent l="0" t="0" r="13970" b="1778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03D98" w14:textId="77777777" w:rsidR="00595BFA" w:rsidRPr="00F50FFF" w:rsidRDefault="00595BFA" w:rsidP="00595BFA">
                            <w:pPr>
                              <w:jc w:val="center"/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8"/>
                              </w:rPr>
                              <w:t xml:space="preserve">Dywidenda wypłacona </w:t>
                            </w:r>
                            <w:r w:rsidRPr="00F50FFF"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</w:rPr>
                              <w:t>(mln złotych)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5D5D" id="Pole tekstowe 25" o:spid="_x0000_s1028" type="#_x0000_t202" style="position:absolute;left:0;text-align:left;margin-left:6.5pt;margin-top:8pt;width:198.4pt;height:16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" filled="f" strokecolor="#a5a5a5 [2092]" strokeweight=".5pt">
                <v:textbox inset="2mm,1mm,2mm,0">
                  <w:txbxContent>
                    <w:p w14:paraId="6C903D98" w14:textId="77777777" w:rsidR="00595BFA" w:rsidRPr="00F50FFF" w:rsidRDefault="00595BFA" w:rsidP="00595BFA">
                      <w:pPr>
                        <w:jc w:val="center"/>
                        <w:rPr>
                          <w:rFonts w:ascii="Tahoma" w:hAnsi="Tahoma" w:cs="Tahoma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8"/>
                        </w:rPr>
                        <w:t xml:space="preserve">Dywidenda wypłacona </w:t>
                      </w:r>
                      <w:r w:rsidRPr="00F50FFF">
                        <w:rPr>
                          <w:rFonts w:ascii="Tahoma" w:hAnsi="Tahoma" w:cs="Tahoma"/>
                          <w:color w:val="404040" w:themeColor="text1" w:themeTint="BF"/>
                          <w:sz w:val="18"/>
                        </w:rPr>
                        <w:t>(mln złotych)</w:t>
                      </w:r>
                    </w:p>
                  </w:txbxContent>
                </v:textbox>
              </v:shape>
            </w:pict>
          </mc:Fallback>
        </mc:AlternateContent>
      </w:r>
    </w:p>
    <w:p w14:paraId="515E2C38" w14:textId="13C5FF1F" w:rsidR="00271E2F" w:rsidRDefault="00595BFA" w:rsidP="00DA29A0">
      <w:pPr>
        <w:spacing w:beforeLines="120" w:before="288" w:afterLines="120" w:after="288" w:line="240" w:lineRule="auto"/>
        <w:jc w:val="both"/>
        <w:rPr>
          <w:rFonts w:ascii="Tahoma" w:hAnsi="Tahoma" w:cs="Tahoma"/>
          <w:sz w:val="16"/>
          <w:szCs w:val="16"/>
        </w:rPr>
      </w:pPr>
      <w:r w:rsidRPr="00595BFA">
        <w:rPr>
          <w:noProof/>
        </w:rPr>
        <w:drawing>
          <wp:anchor distT="0" distB="0" distL="114300" distR="114300" simplePos="0" relativeHeight="251768832" behindDoc="1" locked="0" layoutInCell="1" allowOverlap="1" wp14:anchorId="3E2F16ED" wp14:editId="5343EE6E">
            <wp:simplePos x="0" y="0"/>
            <wp:positionH relativeFrom="margin">
              <wp:posOffset>3910330</wp:posOffset>
            </wp:positionH>
            <wp:positionV relativeFrom="paragraph">
              <wp:posOffset>59690</wp:posOffset>
            </wp:positionV>
            <wp:extent cx="2520000" cy="780291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78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7E155" w14:textId="77777777" w:rsidR="00B018F8" w:rsidRDefault="00B018F8" w:rsidP="00DA29A0">
      <w:pPr>
        <w:spacing w:beforeLines="120" w:before="288" w:afterLines="120" w:after="288" w:line="240" w:lineRule="auto"/>
        <w:jc w:val="both"/>
        <w:rPr>
          <w:noProof/>
          <w:lang w:eastAsia="pl-PL"/>
        </w:rPr>
      </w:pPr>
    </w:p>
    <w:p w14:paraId="42FB674D" w14:textId="77777777" w:rsidR="001568E2" w:rsidRPr="00DA29A0" w:rsidRDefault="001568E2" w:rsidP="006F583C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lang w:eastAsia="pl-PL"/>
        </w:rPr>
      </w:pPr>
      <w:r w:rsidRPr="00DA29A0"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lang w:eastAsia="pl-PL"/>
        </w:rPr>
        <w:lastRenderedPageBreak/>
        <w:t>Wyniki segmentu budowlanego Grupy Budimex:</w:t>
      </w:r>
    </w:p>
    <w:p w14:paraId="41B6CA8A" w14:textId="61D44AF1" w:rsidR="001568E2" w:rsidRPr="00DA29A0" w:rsidRDefault="001568E2" w:rsidP="00156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/>
        <w:contextualSpacing w:val="0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 w:rsidRPr="00DA29A0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Sprzedaż segmentu budowlanego wzrosła o </w:t>
      </w:r>
      <w:r w:rsidR="00755A0A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3</w:t>
      </w:r>
      <w:r w:rsidRPr="00DA29A0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%</w:t>
      </w:r>
      <w:r w:rsidRPr="00DA29A0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</w:t>
      </w:r>
      <w:r w:rsidRPr="00DA29A0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br/>
      </w:r>
      <w:r w:rsidR="00271E2F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osiągając dynamikę </w:t>
      </w:r>
      <w:r w:rsidR="00B03A48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nieco niższą niż branża</w:t>
      </w:r>
      <w:r w:rsidR="000F4323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– koncentrujemy się na budowie </w:t>
      </w:r>
      <w:r w:rsidR="000F4323" w:rsidRPr="000F4323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rentownego portfela zamówień</w:t>
      </w:r>
      <w:r w:rsidR="000F4323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</w:p>
    <w:p w14:paraId="6BD20D92" w14:textId="77777777" w:rsidR="00847E4D" w:rsidRDefault="00755A0A" w:rsidP="00847E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/>
        <w:contextualSpacing w:val="0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 w:rsidRPr="00755A0A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R</w:t>
      </w:r>
      <w:r w:rsidR="00A42C70" w:rsidRPr="00755A0A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entownoś</w:t>
      </w:r>
      <w:r w:rsidR="00924306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ć</w:t>
      </w:r>
      <w:r w:rsidR="00A42C70" w:rsidRPr="00755A0A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zysku brutto </w:t>
      </w:r>
      <w:r w:rsidR="00A42C70" w:rsidRPr="00924306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części budowlanej</w:t>
      </w:r>
      <w:r w:rsidR="00A42C70" w:rsidRPr="00755A0A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  <w:r w:rsidRPr="00755A0A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spadła </w:t>
      </w:r>
      <w:r w:rsidR="00A42C70" w:rsidRPr="00755A0A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do poziomu 1,</w:t>
      </w:r>
      <w:r w:rsidRPr="00755A0A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7</w:t>
      </w:r>
      <w:r w:rsidR="00A42C70" w:rsidRPr="00755A0A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%</w:t>
      </w:r>
      <w:r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w porównaniu do 3,6% w 1 poł. 2018 rok</w:t>
      </w:r>
      <w:r w:rsidR="00847E4D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u</w:t>
      </w:r>
    </w:p>
    <w:p w14:paraId="73750640" w14:textId="54B9828C" w:rsidR="00847E4D" w:rsidRPr="00774071" w:rsidRDefault="00847E4D" w:rsidP="00847E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/>
        <w:contextualSpacing w:val="0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 w:rsidRPr="00DE1D16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Z uwagi na czynniki zewnętrzne 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niezależne od Spółki </w:t>
      </w:r>
      <w:r w:rsidRPr="00B018F8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przewidujemy wydłużony okres realizacji spalarni odpadów w Wilnie</w:t>
      </w:r>
      <w:r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oraz</w:t>
      </w:r>
      <w:r w:rsidRPr="008C371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</w:t>
      </w:r>
      <w:r w:rsidRPr="008C371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pogorszenie wyniku finansowego</w:t>
      </w:r>
      <w:r w:rsidRPr="008C371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na tym kontrakcie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. Prowadzimy rozmowy 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br/>
        <w:t>z Zamawiającym i Konsorcjantem odnośnie dalszej realizacji kontraktu</w:t>
      </w:r>
    </w:p>
    <w:p w14:paraId="348EEA6B" w14:textId="1F286760" w:rsidR="00A42C70" w:rsidRPr="00847E4D" w:rsidRDefault="00847E4D" w:rsidP="00847E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5" w:hanging="357"/>
        <w:contextualSpacing w:val="0"/>
        <w:jc w:val="both"/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</w:pPr>
      <w:r w:rsidRPr="00E01B6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Portfel zamówień </w:t>
      </w:r>
      <w:r w:rsidRPr="00271E2F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Grupy Budimex 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osiągnął rekordowy</w:t>
      </w:r>
      <w:r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poziom 11,1</w:t>
      </w:r>
      <w:r w:rsidRPr="00E01B6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mld</w:t>
      </w:r>
      <w:r w:rsidRPr="00E01B6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złotych</w:t>
      </w:r>
      <w:r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, </w:t>
      </w:r>
      <w:r w:rsidRPr="00595BFA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głównie dzięki </w:t>
      </w:r>
      <w:r w:rsidRPr="00933957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nowym zleceniom w segmencie kolejowym</w:t>
      </w:r>
    </w:p>
    <w:p w14:paraId="2D3310E6" w14:textId="77777777" w:rsidR="00DE1D16" w:rsidRPr="00DE1D16" w:rsidRDefault="000717E2" w:rsidP="00DE1D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/>
        <w:contextualSpacing w:val="0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W lipcu podpisaliśmy</w:t>
      </w:r>
      <w:r w:rsidR="003946CB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umowę na</w:t>
      </w:r>
      <w:r w:rsidR="00755A0A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</w:t>
      </w:r>
      <w:r w:rsidR="00984636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kontynuację</w:t>
      </w:r>
      <w:r w:rsidR="00755A0A" w:rsidRPr="00984636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prac na odcinku autostrady A</w:t>
      </w:r>
      <w:r w:rsidR="000F4323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1 </w:t>
      </w:r>
      <w:r w:rsidR="000F4323" w:rsidRPr="000F4323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oraz</w:t>
      </w:r>
      <w:r w:rsidR="000F4323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  <w:r w:rsidR="003946CB" w:rsidRPr="003946CB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budowę gazociągu </w:t>
      </w:r>
      <w:r w:rsidR="00924306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dla Gaz</w:t>
      </w:r>
      <w:r w:rsidR="000F4323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-</w:t>
      </w:r>
      <w:r w:rsidR="00924306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System</w:t>
      </w:r>
      <w:r w:rsidR="000F4323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. W ostatnim czasie pozyskaliśmy również </w:t>
      </w:r>
      <w:r w:rsidR="000F4323" w:rsidRPr="000F4323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nowych strategicznych klientów</w:t>
      </w:r>
      <w:r w:rsidR="000F4323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jak JSW, Tauron i PGNiG</w:t>
      </w:r>
    </w:p>
    <w:p w14:paraId="361545E7" w14:textId="77777777" w:rsidR="000D18B7" w:rsidRPr="000D18B7" w:rsidRDefault="000D18B7" w:rsidP="000D18B7">
      <w:pPr>
        <w:autoSpaceDE w:val="0"/>
        <w:autoSpaceDN w:val="0"/>
        <w:adjustRightInd w:val="0"/>
        <w:spacing w:before="120" w:after="120" w:line="288" w:lineRule="auto"/>
        <w:ind w:left="68"/>
        <w:jc w:val="both"/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lang w:eastAsia="pl-PL"/>
        </w:rPr>
      </w:pPr>
      <w:r w:rsidRPr="00DA29A0"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lang w:eastAsia="pl-PL"/>
        </w:rPr>
        <w:t xml:space="preserve">Wyniki segmentu </w:t>
      </w:r>
      <w:r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lang w:eastAsia="pl-PL"/>
        </w:rPr>
        <w:t>deweloperskiego</w:t>
      </w:r>
      <w:r w:rsidRPr="00DA29A0"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lang w:eastAsia="pl-PL"/>
        </w:rPr>
        <w:t xml:space="preserve"> Grupy Budimex:</w:t>
      </w:r>
    </w:p>
    <w:p w14:paraId="692771C0" w14:textId="4A1091C4" w:rsidR="000D18B7" w:rsidRDefault="00F46B6C" w:rsidP="000D18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5" w:hanging="357"/>
        <w:contextualSpacing w:val="0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Klienci Budimex Nieruchomości </w:t>
      </w:r>
      <w:r w:rsidR="00713ED5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w</w:t>
      </w:r>
      <w:r w:rsidR="000D18B7" w:rsidRPr="000D18B7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</w:t>
      </w:r>
      <w:r w:rsidR="00B51617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1 </w:t>
      </w:r>
      <w:r w:rsidR="001A018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poł</w:t>
      </w:r>
      <w:r w:rsidR="00B51617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. 2019</w:t>
      </w:r>
      <w:r w:rsidR="000D18B7" w:rsidRPr="000D18B7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roku podpisali </w:t>
      </w:r>
      <w:r w:rsidR="006F583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947</w:t>
      </w:r>
      <w:r w:rsidR="000D18B7" w:rsidRPr="000D18B7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akt</w:t>
      </w:r>
      <w:r w:rsidR="00B51617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ów</w:t>
      </w:r>
      <w:r w:rsidR="000D18B7" w:rsidRPr="000D18B7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notarialn</w:t>
      </w:r>
      <w:r w:rsidR="00B51617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ych</w:t>
      </w:r>
    </w:p>
    <w:p w14:paraId="2943D3DA" w14:textId="762B9E5D" w:rsidR="00B51617" w:rsidRDefault="006F583C" w:rsidP="000D18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5" w:hanging="357"/>
        <w:contextualSpacing w:val="0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Rozszerzenie oferty </w:t>
      </w:r>
      <w:r w:rsidRPr="006F583C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w ostatnich miesiącach pozwoliło na osiągnięcie</w:t>
      </w:r>
      <w:r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  <w:r w:rsidRPr="006F583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p</w:t>
      </w:r>
      <w:r w:rsidR="00B51617" w:rsidRPr="006F583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rzedsprzedaż</w:t>
      </w:r>
      <w:r w:rsidRPr="006F583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y</w:t>
      </w:r>
      <w:r w:rsidR="00B51617" w:rsidRPr="006F583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  <w:r w:rsidRPr="006F583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na poziomie</w:t>
      </w:r>
      <w:r w:rsidR="00B51617" w:rsidRPr="006F583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  <w:r w:rsidRPr="006F583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731</w:t>
      </w:r>
      <w:r w:rsidR="00B51617" w:rsidRPr="006F583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mieszkań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</w:t>
      </w:r>
    </w:p>
    <w:p w14:paraId="2A232AC3" w14:textId="0D33CABF" w:rsidR="000D18B7" w:rsidRDefault="000D18B7" w:rsidP="000D18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5" w:hanging="357"/>
        <w:contextualSpacing w:val="0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r w:rsidRPr="00E01B6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Przychody segmentu deweloperskiego </w:t>
      </w:r>
      <w:r w:rsidR="00B51617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spadły</w:t>
      </w:r>
      <w:r w:rsidRPr="00E01B6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o </w:t>
      </w:r>
      <w:r w:rsidR="006F583C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5</w:t>
      </w:r>
      <w:r w:rsidRPr="00E01B6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% </w:t>
      </w:r>
      <w:r w:rsidRPr="00E01B6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br/>
        <w:t xml:space="preserve">i wyniosły </w:t>
      </w:r>
      <w:r w:rsidR="006F583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313</w:t>
      </w:r>
      <w:r w:rsidRPr="00E01B6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milionów złotych</w:t>
      </w:r>
      <w:r w:rsidRPr="00E01B6E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 a </w:t>
      </w:r>
      <w:r w:rsidRPr="00E01B6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zysk </w:t>
      </w:r>
      <w:r w:rsidR="00713ED5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brutto</w:t>
      </w:r>
      <w:r w:rsidRPr="00E01B6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</w:t>
      </w:r>
      <w:r w:rsidR="000B697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br/>
      </w:r>
      <w:r w:rsidR="006F583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55</w:t>
      </w:r>
      <w:r w:rsidRPr="00E01B6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milion</w:t>
      </w:r>
      <w:r w:rsidR="00713ED5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ów</w:t>
      </w:r>
      <w:r w:rsidRPr="00E01B6E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złotych </w:t>
      </w:r>
      <w:r w:rsidRPr="007F0C16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przy </w:t>
      </w:r>
      <w:r w:rsidR="00B51617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wysokiej </w:t>
      </w:r>
      <w:r w:rsidRPr="007F0C16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rentowności </w:t>
      </w:r>
      <w:r w:rsidR="006F583C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17,6</w:t>
      </w:r>
      <w:r w:rsidRPr="007F0C16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>%</w:t>
      </w:r>
    </w:p>
    <w:p w14:paraId="510A2047" w14:textId="7E03E1C4" w:rsidR="008C371E" w:rsidRDefault="008C371E" w:rsidP="00CC0A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5" w:hanging="357"/>
        <w:contextualSpacing w:val="0"/>
        <w:jc w:val="both"/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</w:pPr>
      <w:r w:rsidRPr="00E01B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24CD61" wp14:editId="4A1F66EB">
                <wp:simplePos x="0" y="0"/>
                <wp:positionH relativeFrom="column">
                  <wp:posOffset>-249555</wp:posOffset>
                </wp:positionH>
                <wp:positionV relativeFrom="paragraph">
                  <wp:posOffset>381635</wp:posOffset>
                </wp:positionV>
                <wp:extent cx="6810375" cy="3343999"/>
                <wp:effectExtent l="0" t="0" r="28575" b="27940"/>
                <wp:wrapNone/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343999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9000"/>
                          </a:srgbClr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DEA6E" w14:textId="77777777" w:rsidR="00AC238B" w:rsidRPr="008C371E" w:rsidRDefault="00AC238B" w:rsidP="00C73604">
                            <w:pPr>
                              <w:autoSpaceDE w:val="0"/>
                              <w:autoSpaceDN w:val="0"/>
                              <w:adjustRightInd w:val="0"/>
                              <w:spacing w:afterLines="60" w:after="144" w:line="288" w:lineRule="auto"/>
                              <w:ind w:left="284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color w:val="984806" w:themeColor="accent6" w:themeShade="80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8C371E">
                              <w:rPr>
                                <w:rFonts w:ascii="Tahoma" w:eastAsia="Times New Roman" w:hAnsi="Tahoma" w:cs="Tahoma"/>
                                <w:b/>
                                <w:color w:val="984806" w:themeColor="accent6" w:themeShade="80"/>
                                <w:sz w:val="19"/>
                                <w:szCs w:val="19"/>
                                <w:lang w:eastAsia="pl-PL"/>
                              </w:rPr>
                              <w:t xml:space="preserve">Najbliższe kwartały </w:t>
                            </w:r>
                            <w:r w:rsidR="00631876" w:rsidRPr="008C371E">
                              <w:rPr>
                                <w:rFonts w:ascii="Tahoma" w:eastAsia="Times New Roman" w:hAnsi="Tahoma" w:cs="Tahoma"/>
                                <w:b/>
                                <w:color w:val="984806" w:themeColor="accent6" w:themeShade="80"/>
                                <w:sz w:val="19"/>
                                <w:szCs w:val="19"/>
                                <w:lang w:eastAsia="pl-PL"/>
                              </w:rPr>
                              <w:t>okiem Grupy Budimex</w:t>
                            </w:r>
                            <w:r w:rsidR="00F410EE" w:rsidRPr="008C371E">
                              <w:rPr>
                                <w:rFonts w:ascii="Tahoma" w:eastAsia="Times New Roman" w:hAnsi="Tahoma" w:cs="Tahoma"/>
                                <w:b/>
                                <w:color w:val="984806" w:themeColor="accent6" w:themeShade="80"/>
                                <w:sz w:val="19"/>
                                <w:szCs w:val="19"/>
                                <w:lang w:eastAsia="pl-PL"/>
                              </w:rPr>
                              <w:t>…</w:t>
                            </w:r>
                          </w:p>
                          <w:p w14:paraId="50374358" w14:textId="0740684C" w:rsidR="00522774" w:rsidRPr="008C371E" w:rsidRDefault="00AC238B" w:rsidP="00B018F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80" w:after="80" w:line="252" w:lineRule="auto"/>
                              <w:ind w:left="426"/>
                              <w:contextualSpacing w:val="0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8C371E">
                              <w:rPr>
                                <w:rFonts w:ascii="Tahoma" w:eastAsia="Times New Roman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>Sytuacja Grupy Budimex jest stabilna</w:t>
                            </w:r>
                            <w:r w:rsidR="008207F0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  <w:r w:rsidR="006F583C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a </w:t>
                            </w:r>
                            <w:r w:rsidR="006F583C" w:rsidRPr="008C371E">
                              <w:rPr>
                                <w:rFonts w:ascii="Tahoma" w:eastAsia="Times New Roman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>rekordowy poziom portfela</w:t>
                            </w:r>
                            <w:r w:rsidR="006F583C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  <w:r w:rsidR="006F583C" w:rsidRPr="008C371E">
                              <w:rPr>
                                <w:rFonts w:ascii="Tahoma" w:eastAsia="Times New Roman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>zamówień</w:t>
                            </w:r>
                            <w:r w:rsidR="006F583C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 pozwala na </w:t>
                            </w:r>
                            <w:r w:rsidR="00CD2278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w pełni </w:t>
                            </w:r>
                            <w:r w:rsidR="006F583C" w:rsidRPr="008C371E">
                              <w:rPr>
                                <w:rFonts w:ascii="Tahoma" w:eastAsia="Times New Roman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>efektywne wykorzystanie zasobów</w:t>
                            </w:r>
                            <w:r w:rsidR="006F583C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 i zabezpiecza front prac na najbliższe kilka kwartałów</w:t>
                            </w:r>
                            <w:r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</w:p>
                          <w:p w14:paraId="731F6873" w14:textId="0598CFF6" w:rsidR="00522774" w:rsidRPr="008C371E" w:rsidRDefault="00522774" w:rsidP="00B018F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80" w:after="80" w:line="288" w:lineRule="auto"/>
                              <w:ind w:left="425" w:hanging="357"/>
                              <w:contextualSpacing w:val="0"/>
                              <w:jc w:val="both"/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Średnia rentowność portfela </w:t>
                            </w:r>
                            <w:r w:rsidR="00631876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jest </w:t>
                            </w:r>
                            <w:r w:rsidR="00631876" w:rsidRPr="008C371E">
                              <w:rPr>
                                <w:rFonts w:ascii="Tahoma" w:eastAsia="Times New Roman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>relatywnie dobra</w:t>
                            </w:r>
                            <w:r w:rsidR="00631876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  <w:r w:rsidR="006F583C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>jednak</w:t>
                            </w:r>
                            <w:r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  <w:r w:rsidR="006F583C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>ciągle odczuwamy efekty kończenia</w:t>
                            </w:r>
                            <w:r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 trudnych kontraktów podpisanych </w:t>
                            </w:r>
                            <w:r w:rsidR="00971A47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>2-3</w:t>
                            </w:r>
                            <w:r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 lata temu</w:t>
                            </w:r>
                            <w:r w:rsidR="00933957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. </w:t>
                            </w:r>
                            <w:r w:rsidR="00933957" w:rsidRPr="008C371E">
                              <w:rPr>
                                <w:rFonts w:ascii="Tahoma" w:eastAsia="Times New Roman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Waloryzacja kontraktów w ograniczonym zakresie wdrożona została w </w:t>
                            </w:r>
                            <w:r w:rsidR="00DB196E" w:rsidRPr="008C371E">
                              <w:rPr>
                                <w:rFonts w:ascii="Tahoma" w:eastAsia="Times New Roman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nowych </w:t>
                            </w:r>
                            <w:r w:rsidR="00933957" w:rsidRPr="008C371E">
                              <w:rPr>
                                <w:rFonts w:ascii="Tahoma" w:eastAsia="Times New Roman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>projektach GDDKiA oraz PKP PLK</w:t>
                            </w:r>
                            <w:r w:rsidR="00933957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 brak jest natomiast tego typu rozwiązań w zamówieniach samorządowych. Na dzisiaj nie</w:t>
                            </w:r>
                            <w:r w:rsidR="00DE1D16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 możemy ocenić jak</w:t>
                            </w:r>
                            <w:r w:rsidR="00933957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  <w:r w:rsidR="00B0068D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>nowe</w:t>
                            </w:r>
                            <w:r w:rsidR="00933957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 mechanizmy indeksacji będą </w:t>
                            </w:r>
                            <w:r w:rsidR="00DE1D16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 xml:space="preserve">działać </w:t>
                            </w:r>
                            <w:r w:rsidR="00B924B6" w:rsidRPr="008C371E">
                              <w:rPr>
                                <w:rFonts w:ascii="Tahoma" w:eastAsia="Times New Roman" w:hAnsi="Tahoma" w:cs="Tahoma"/>
                                <w:color w:val="404040" w:themeColor="text1" w:themeTint="BF"/>
                                <w:sz w:val="19"/>
                                <w:szCs w:val="19"/>
                                <w:lang w:eastAsia="pl-PL"/>
                              </w:rPr>
                              <w:t>w praktyce</w:t>
                            </w:r>
                          </w:p>
                          <w:p w14:paraId="77FB8EA4" w14:textId="6508E8EC" w:rsidR="00262E0F" w:rsidRPr="008C371E" w:rsidRDefault="004E3919" w:rsidP="00B018F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before="80" w:after="80" w:line="252" w:lineRule="auto"/>
                              <w:ind w:left="425" w:hanging="357"/>
                              <w:contextualSpacing w:val="0"/>
                              <w:jc w:val="both"/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>Otoczenie rynkowe pozostaje trudne, w szczególności w zakresie</w:t>
                            </w:r>
                            <w:r w:rsidR="00262E0F"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dostępnoś</w:t>
                            </w:r>
                            <w:r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ci</w:t>
                            </w:r>
                            <w:r w:rsidR="00262E0F"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i utrzymani</w:t>
                            </w:r>
                            <w:r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a</w:t>
                            </w:r>
                            <w:r w:rsidR="00262E0F"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kadry</w:t>
                            </w:r>
                            <w:r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>oraz</w:t>
                            </w:r>
                            <w:r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cen materiałów i podwykonawców</w:t>
                            </w:r>
                            <w:r w:rsidR="00595BFA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>W</w:t>
                            </w:r>
                            <w:r w:rsidR="00595BFA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idoczne jest </w:t>
                            </w:r>
                            <w:r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również </w:t>
                            </w:r>
                            <w:r w:rsidR="00595BFA"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pogorszenie sytuacji płynnościowej w branży</w:t>
                            </w:r>
                          </w:p>
                          <w:p w14:paraId="6870CC53" w14:textId="6D1DD10B" w:rsidR="000A0F49" w:rsidRPr="008C371E" w:rsidRDefault="00933957" w:rsidP="00B018F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before="80" w:after="80" w:line="252" w:lineRule="auto"/>
                              <w:ind w:left="425" w:hanging="357"/>
                              <w:contextualSpacing w:val="0"/>
                              <w:jc w:val="both"/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>Zakończyliśmy</w:t>
                            </w:r>
                            <w:r w:rsidR="00C67940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67940"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negocjacje nabycia 51% udziałów w FBSerwis. </w:t>
                            </w:r>
                            <w:r w:rsidR="00C67940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Na początku lipca </w:t>
                            </w:r>
                            <w:r w:rsidR="00C67940"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transakcja została sfinalizowana</w:t>
                            </w:r>
                            <w:r w:rsidR="00C67940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i począwszy od tej daty Grupa Budimex </w:t>
                            </w:r>
                            <w:r w:rsidR="00C67940"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rozpocznie konsolidację wyników Grupy FBSerwis</w:t>
                            </w:r>
                            <w:r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.</w:t>
                            </w:r>
                            <w:r w:rsidR="00DE1D16"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E1D16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Jest to </w:t>
                            </w:r>
                            <w:r w:rsidR="00DE1D16"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strategiczna i długoterminowa inwestycja</w:t>
                            </w:r>
                            <w:r w:rsidR="006B25BB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, która dywersyfikuje </w:t>
                            </w:r>
                            <w:r w:rsidR="00DE1D16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>biznes Grupy Budimex</w:t>
                            </w:r>
                          </w:p>
                          <w:p w14:paraId="4A5B7055" w14:textId="77777777" w:rsidR="00F410EE" w:rsidRPr="008C371E" w:rsidRDefault="00F410EE" w:rsidP="00C73604">
                            <w:pPr>
                              <w:autoSpaceDE w:val="0"/>
                              <w:autoSpaceDN w:val="0"/>
                              <w:adjustRightInd w:val="0"/>
                              <w:spacing w:afterLines="60" w:after="144" w:line="288" w:lineRule="auto"/>
                              <w:ind w:left="284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color w:val="984806" w:themeColor="accent6" w:themeShade="80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8C371E">
                              <w:rPr>
                                <w:rFonts w:ascii="Tahoma" w:eastAsia="Times New Roman" w:hAnsi="Tahoma" w:cs="Tahoma"/>
                                <w:b/>
                                <w:color w:val="984806" w:themeColor="accent6" w:themeShade="80"/>
                                <w:sz w:val="19"/>
                                <w:szCs w:val="19"/>
                                <w:lang w:eastAsia="pl-PL"/>
                              </w:rPr>
                              <w:t>Grupa Budimex…</w:t>
                            </w:r>
                          </w:p>
                          <w:p w14:paraId="35D87A5F" w14:textId="3DF26A71" w:rsidR="00C0095A" w:rsidRPr="008C371E" w:rsidRDefault="00FA76BF" w:rsidP="00C0095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beforeLines="60" w:before="144" w:after="8" w:line="252" w:lineRule="auto"/>
                              <w:ind w:left="425" w:hanging="357"/>
                              <w:contextualSpacing w:val="0"/>
                              <w:jc w:val="both"/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Rozwija społeczną odpowiedzialność biznesu. </w:t>
                            </w:r>
                            <w:r w:rsidR="00262E0F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Budimex zwyciężył w XXII edycji konkursu </w:t>
                            </w:r>
                            <w:r w:rsidR="00262E0F"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„</w:t>
                            </w:r>
                            <w:r w:rsidR="0080026D"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Dobroczyńca</w:t>
                            </w:r>
                            <w:r w:rsidR="00262E0F"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Roku”</w:t>
                            </w:r>
                            <w:r w:rsidR="00262E0F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w kategorii „</w:t>
                            </w:r>
                            <w:r w:rsidR="0080026D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>Edukacja</w:t>
                            </w:r>
                            <w:r w:rsidR="00262E0F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– duża firma”</w:t>
                            </w:r>
                            <w:r w:rsidR="0080026D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za zaangażowanie w projekt pierwszej leśnej szkoły „Puszczyk”. </w:t>
                            </w:r>
                            <w:r w:rsidR="0080026D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br/>
                            </w:r>
                            <w:r w:rsidR="00262E0F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W ostatnim czasie otwarta została </w:t>
                            </w:r>
                            <w:r w:rsidR="0080026D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także już </w:t>
                            </w:r>
                            <w:r w:rsidR="00262E0F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>30</w:t>
                            </w:r>
                            <w:r w:rsidR="0080026D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>,</w:t>
                            </w:r>
                            <w:r w:rsidR="00262E0F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jubileuszowa</w:t>
                            </w:r>
                            <w:r w:rsidR="0080026D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>,</w:t>
                            </w:r>
                            <w:r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Strefa Rodzica</w:t>
                            </w:r>
                            <w:r w:rsidR="00262E0F"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w Chorzowie</w:t>
                            </w:r>
                          </w:p>
                          <w:p w14:paraId="17EA49C5" w14:textId="2F20A4D7" w:rsidR="00AD3CAD" w:rsidRPr="008C371E" w:rsidRDefault="00AD3CAD" w:rsidP="002B338C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before="20" w:afterLines="40" w:after="96" w:line="252" w:lineRule="auto"/>
                              <w:ind w:left="425" w:hanging="357"/>
                              <w:contextualSpacing w:val="0"/>
                              <w:jc w:val="both"/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Stara się stwarzać pracownikom jak najlepsze warunki pracy. Ponownie znaleźliśmy się na podium rankingu </w:t>
                            </w:r>
                            <w:r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Most </w:t>
                            </w:r>
                            <w:proofErr w:type="spellStart"/>
                            <w:r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Attractive</w:t>
                            </w:r>
                            <w:proofErr w:type="spellEnd"/>
                            <w:r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Employers</w:t>
                            </w:r>
                            <w:proofErr w:type="spellEnd"/>
                            <w:r w:rsidRPr="008C371E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Poland 2019</w:t>
                            </w:r>
                            <w:r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24306" w:rsidRPr="008C371E">
                              <w:rPr>
                                <w:rFonts w:ascii="Tahoma" w:hAnsi="Tahoma" w:cs="Tahoma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w kategorii „Inżynieria”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CD61" id="Pole tekstowe 57" o:spid="_x0000_s1029" type="#_x0000_t202" style="position:absolute;left:0;text-align:left;margin-left:-19.65pt;margin-top:30.05pt;width:536.25pt;height:26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" fillcolor="#ffc000" strokecolor="#404040 [2429]" strokeweight=".5pt">
                <v:fill opacity="19018f"/>
                <v:stroke dashstyle="dash"/>
                <v:textbox inset="0,0,2mm,1mm">
                  <w:txbxContent>
                    <w:p w14:paraId="079DEA6E" w14:textId="77777777" w:rsidR="00AC238B" w:rsidRPr="008C371E" w:rsidRDefault="00AC238B" w:rsidP="00C73604">
                      <w:pPr>
                        <w:autoSpaceDE w:val="0"/>
                        <w:autoSpaceDN w:val="0"/>
                        <w:adjustRightInd w:val="0"/>
                        <w:spacing w:afterLines="60" w:after="144" w:line="288" w:lineRule="auto"/>
                        <w:ind w:left="284"/>
                        <w:jc w:val="both"/>
                        <w:rPr>
                          <w:rFonts w:ascii="Tahoma" w:eastAsia="Times New Roman" w:hAnsi="Tahoma" w:cs="Tahoma"/>
                          <w:b/>
                          <w:color w:val="984806" w:themeColor="accent6" w:themeShade="80"/>
                          <w:sz w:val="19"/>
                          <w:szCs w:val="19"/>
                          <w:lang w:eastAsia="pl-PL"/>
                        </w:rPr>
                      </w:pPr>
                      <w:r w:rsidRPr="008C371E">
                        <w:rPr>
                          <w:rFonts w:ascii="Tahoma" w:eastAsia="Times New Roman" w:hAnsi="Tahoma" w:cs="Tahoma"/>
                          <w:b/>
                          <w:color w:val="984806" w:themeColor="accent6" w:themeShade="80"/>
                          <w:sz w:val="19"/>
                          <w:szCs w:val="19"/>
                          <w:lang w:eastAsia="pl-PL"/>
                        </w:rPr>
                        <w:t xml:space="preserve">Najbliższe kwartały </w:t>
                      </w:r>
                      <w:r w:rsidR="00631876" w:rsidRPr="008C371E">
                        <w:rPr>
                          <w:rFonts w:ascii="Tahoma" w:eastAsia="Times New Roman" w:hAnsi="Tahoma" w:cs="Tahoma"/>
                          <w:b/>
                          <w:color w:val="984806" w:themeColor="accent6" w:themeShade="80"/>
                          <w:sz w:val="19"/>
                          <w:szCs w:val="19"/>
                          <w:lang w:eastAsia="pl-PL"/>
                        </w:rPr>
                        <w:t>okiem Grupy Budimex</w:t>
                      </w:r>
                      <w:r w:rsidR="00F410EE" w:rsidRPr="008C371E">
                        <w:rPr>
                          <w:rFonts w:ascii="Tahoma" w:eastAsia="Times New Roman" w:hAnsi="Tahoma" w:cs="Tahoma"/>
                          <w:b/>
                          <w:color w:val="984806" w:themeColor="accent6" w:themeShade="80"/>
                          <w:sz w:val="19"/>
                          <w:szCs w:val="19"/>
                          <w:lang w:eastAsia="pl-PL"/>
                        </w:rPr>
                        <w:t>…</w:t>
                      </w:r>
                    </w:p>
                    <w:p w14:paraId="50374358" w14:textId="0740684C" w:rsidR="00522774" w:rsidRPr="008C371E" w:rsidRDefault="00AC238B" w:rsidP="00B018F8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80" w:after="80" w:line="252" w:lineRule="auto"/>
                        <w:ind w:left="426"/>
                        <w:contextualSpacing w:val="0"/>
                        <w:jc w:val="both"/>
                        <w:rPr>
                          <w:rFonts w:ascii="Tahoma" w:eastAsia="Times New Roman" w:hAnsi="Tahoma" w:cs="Tahoma"/>
                          <w:b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</w:pPr>
                      <w:r w:rsidRPr="008C371E">
                        <w:rPr>
                          <w:rFonts w:ascii="Tahoma" w:eastAsia="Times New Roman" w:hAnsi="Tahoma" w:cs="Tahoma"/>
                          <w:b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>Sytuacja Grupy Budimex jest stabilna</w:t>
                      </w:r>
                      <w:r w:rsidR="008207F0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 </w:t>
                      </w:r>
                      <w:r w:rsidR="006F583C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a </w:t>
                      </w:r>
                      <w:r w:rsidR="006F583C" w:rsidRPr="008C371E">
                        <w:rPr>
                          <w:rFonts w:ascii="Tahoma" w:eastAsia="Times New Roman" w:hAnsi="Tahoma" w:cs="Tahoma"/>
                          <w:b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>rekordowy poziom portfela</w:t>
                      </w:r>
                      <w:r w:rsidR="006F583C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 </w:t>
                      </w:r>
                      <w:r w:rsidR="006F583C" w:rsidRPr="008C371E">
                        <w:rPr>
                          <w:rFonts w:ascii="Tahoma" w:eastAsia="Times New Roman" w:hAnsi="Tahoma" w:cs="Tahoma"/>
                          <w:b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>zamówień</w:t>
                      </w:r>
                      <w:r w:rsidR="006F583C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 pozwala na </w:t>
                      </w:r>
                      <w:r w:rsidR="00CD2278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w pełni </w:t>
                      </w:r>
                      <w:r w:rsidR="006F583C" w:rsidRPr="008C371E">
                        <w:rPr>
                          <w:rFonts w:ascii="Tahoma" w:eastAsia="Times New Roman" w:hAnsi="Tahoma" w:cs="Tahoma"/>
                          <w:b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>efektywne wykorzystanie zasobów</w:t>
                      </w:r>
                      <w:r w:rsidR="006F583C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 i zabezpiecza front prac na najbliższe kilka kwartałów</w:t>
                      </w:r>
                      <w:r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 </w:t>
                      </w:r>
                    </w:p>
                    <w:p w14:paraId="731F6873" w14:textId="0598CFF6" w:rsidR="00522774" w:rsidRPr="008C371E" w:rsidRDefault="00522774" w:rsidP="00B018F8">
                      <w:pPr>
                        <w:pStyle w:val="Akapitzlist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80" w:after="80" w:line="288" w:lineRule="auto"/>
                        <w:ind w:left="425" w:hanging="357"/>
                        <w:contextualSpacing w:val="0"/>
                        <w:jc w:val="both"/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</w:pPr>
                      <w:r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Średnia rentowność portfela </w:t>
                      </w:r>
                      <w:r w:rsidR="00631876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jest </w:t>
                      </w:r>
                      <w:r w:rsidR="00631876" w:rsidRPr="008C371E">
                        <w:rPr>
                          <w:rFonts w:ascii="Tahoma" w:eastAsia="Times New Roman" w:hAnsi="Tahoma" w:cs="Tahoma"/>
                          <w:b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>relatywnie dobra</w:t>
                      </w:r>
                      <w:r w:rsidR="00631876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 </w:t>
                      </w:r>
                      <w:r w:rsidR="006F583C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>jednak</w:t>
                      </w:r>
                      <w:r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 </w:t>
                      </w:r>
                      <w:r w:rsidR="006F583C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>ciągle odczuwamy efekty kończenia</w:t>
                      </w:r>
                      <w:r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 trudnych kontraktów podpisanych </w:t>
                      </w:r>
                      <w:r w:rsidR="00971A47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>2-3</w:t>
                      </w:r>
                      <w:r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 lata temu</w:t>
                      </w:r>
                      <w:r w:rsidR="00933957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. </w:t>
                      </w:r>
                      <w:r w:rsidR="00933957" w:rsidRPr="008C371E">
                        <w:rPr>
                          <w:rFonts w:ascii="Tahoma" w:eastAsia="Times New Roman" w:hAnsi="Tahoma" w:cs="Tahoma"/>
                          <w:b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Waloryzacja kontraktów w ograniczonym zakresie wdrożona została w </w:t>
                      </w:r>
                      <w:r w:rsidR="00DB196E" w:rsidRPr="008C371E">
                        <w:rPr>
                          <w:rFonts w:ascii="Tahoma" w:eastAsia="Times New Roman" w:hAnsi="Tahoma" w:cs="Tahoma"/>
                          <w:b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nowych </w:t>
                      </w:r>
                      <w:r w:rsidR="00933957" w:rsidRPr="008C371E">
                        <w:rPr>
                          <w:rFonts w:ascii="Tahoma" w:eastAsia="Times New Roman" w:hAnsi="Tahoma" w:cs="Tahoma"/>
                          <w:b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>projektach GDDKiA oraz PKP PLK</w:t>
                      </w:r>
                      <w:r w:rsidR="00933957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 brak jest natomiast tego typu rozwiązań w zamówieniach samorządowych. Na dzisiaj nie</w:t>
                      </w:r>
                      <w:r w:rsidR="00DE1D16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 możemy ocenić jak</w:t>
                      </w:r>
                      <w:r w:rsidR="00933957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 </w:t>
                      </w:r>
                      <w:r w:rsidR="00B0068D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>nowe</w:t>
                      </w:r>
                      <w:r w:rsidR="00933957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 mechanizmy indeksacji będą </w:t>
                      </w:r>
                      <w:r w:rsidR="00DE1D16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 xml:space="preserve">działać </w:t>
                      </w:r>
                      <w:r w:rsidR="00B924B6" w:rsidRPr="008C371E">
                        <w:rPr>
                          <w:rFonts w:ascii="Tahoma" w:eastAsia="Times New Roman" w:hAnsi="Tahoma" w:cs="Tahoma"/>
                          <w:color w:val="404040" w:themeColor="text1" w:themeTint="BF"/>
                          <w:sz w:val="19"/>
                          <w:szCs w:val="19"/>
                          <w:lang w:eastAsia="pl-PL"/>
                        </w:rPr>
                        <w:t>w praktyce</w:t>
                      </w:r>
                    </w:p>
                    <w:p w14:paraId="77FB8EA4" w14:textId="6508E8EC" w:rsidR="00262E0F" w:rsidRPr="008C371E" w:rsidRDefault="004E3919" w:rsidP="00B018F8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before="80" w:after="80" w:line="252" w:lineRule="auto"/>
                        <w:ind w:left="425" w:hanging="357"/>
                        <w:contextualSpacing w:val="0"/>
                        <w:jc w:val="both"/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>Otoczenie rynkowe pozostaje trudne, w szczególności w zakresie</w:t>
                      </w:r>
                      <w:r w:rsidR="00262E0F"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 dostępnoś</w:t>
                      </w:r>
                      <w:r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ci</w:t>
                      </w:r>
                      <w:r w:rsidR="00262E0F"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 i utrzymani</w:t>
                      </w:r>
                      <w:r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a</w:t>
                      </w:r>
                      <w:r w:rsidR="00262E0F"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 kadry</w:t>
                      </w:r>
                      <w:r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 </w:t>
                      </w:r>
                      <w:r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>oraz</w:t>
                      </w:r>
                      <w:r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 cen materiałów i podwykonawców</w:t>
                      </w:r>
                      <w:r w:rsidR="00595BFA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. </w:t>
                      </w:r>
                      <w:r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>W</w:t>
                      </w:r>
                      <w:r w:rsidR="00595BFA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idoczne jest </w:t>
                      </w:r>
                      <w:r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również </w:t>
                      </w:r>
                      <w:r w:rsidR="00595BFA"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pogorszenie sytuacji płynnościowej w branży</w:t>
                      </w:r>
                    </w:p>
                    <w:p w14:paraId="6870CC53" w14:textId="6D1DD10B" w:rsidR="000A0F49" w:rsidRPr="008C371E" w:rsidRDefault="00933957" w:rsidP="00B018F8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before="80" w:after="80" w:line="252" w:lineRule="auto"/>
                        <w:ind w:left="425" w:hanging="357"/>
                        <w:contextualSpacing w:val="0"/>
                        <w:jc w:val="both"/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>Zakończyliśmy</w:t>
                      </w:r>
                      <w:r w:rsidR="00C67940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 </w:t>
                      </w:r>
                      <w:r w:rsidR="00C67940"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negocjacje nabycia 51% udziałów w FBSerwis. </w:t>
                      </w:r>
                      <w:r w:rsidR="00C67940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Na początku lipca </w:t>
                      </w:r>
                      <w:r w:rsidR="00C67940"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transakcja została sfinalizowana</w:t>
                      </w:r>
                      <w:r w:rsidR="00C67940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 i począwszy od tej daty Grupa Budimex </w:t>
                      </w:r>
                      <w:r w:rsidR="00C67940"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rozpocznie konsolidację wyników Grupy FBSerwis</w:t>
                      </w:r>
                      <w:r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.</w:t>
                      </w:r>
                      <w:r w:rsidR="00DE1D16"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 </w:t>
                      </w:r>
                      <w:r w:rsidR="00DE1D16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Jest to </w:t>
                      </w:r>
                      <w:r w:rsidR="00DE1D16"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strategiczna i długoterminowa inwestycja</w:t>
                      </w:r>
                      <w:r w:rsidR="006B25BB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, która dywersyfikuje </w:t>
                      </w:r>
                      <w:r w:rsidR="00DE1D16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>biznes Grupy Budimex</w:t>
                      </w:r>
                    </w:p>
                    <w:p w14:paraId="4A5B7055" w14:textId="77777777" w:rsidR="00F410EE" w:rsidRPr="008C371E" w:rsidRDefault="00F410EE" w:rsidP="00C73604">
                      <w:pPr>
                        <w:autoSpaceDE w:val="0"/>
                        <w:autoSpaceDN w:val="0"/>
                        <w:adjustRightInd w:val="0"/>
                        <w:spacing w:afterLines="60" w:after="144" w:line="288" w:lineRule="auto"/>
                        <w:ind w:left="284"/>
                        <w:jc w:val="both"/>
                        <w:rPr>
                          <w:rFonts w:ascii="Tahoma" w:eastAsia="Times New Roman" w:hAnsi="Tahoma" w:cs="Tahoma"/>
                          <w:b/>
                          <w:color w:val="984806" w:themeColor="accent6" w:themeShade="80"/>
                          <w:sz w:val="19"/>
                          <w:szCs w:val="19"/>
                          <w:lang w:eastAsia="pl-PL"/>
                        </w:rPr>
                      </w:pPr>
                      <w:r w:rsidRPr="008C371E">
                        <w:rPr>
                          <w:rFonts w:ascii="Tahoma" w:eastAsia="Times New Roman" w:hAnsi="Tahoma" w:cs="Tahoma"/>
                          <w:b/>
                          <w:color w:val="984806" w:themeColor="accent6" w:themeShade="80"/>
                          <w:sz w:val="19"/>
                          <w:szCs w:val="19"/>
                          <w:lang w:eastAsia="pl-PL"/>
                        </w:rPr>
                        <w:t>Grupa Budimex…</w:t>
                      </w:r>
                    </w:p>
                    <w:p w14:paraId="35D87A5F" w14:textId="3DF26A71" w:rsidR="00C0095A" w:rsidRPr="008C371E" w:rsidRDefault="00FA76BF" w:rsidP="00C0095A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beforeLines="60" w:before="144" w:after="8" w:line="252" w:lineRule="auto"/>
                        <w:ind w:left="425" w:hanging="357"/>
                        <w:contextualSpacing w:val="0"/>
                        <w:jc w:val="both"/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Rozwija społeczną odpowiedzialność biznesu. </w:t>
                      </w:r>
                      <w:r w:rsidR="00262E0F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Budimex zwyciężył w XXII edycji konkursu </w:t>
                      </w:r>
                      <w:r w:rsidR="00262E0F"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„</w:t>
                      </w:r>
                      <w:r w:rsidR="0080026D"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Dobroczyńca</w:t>
                      </w:r>
                      <w:r w:rsidR="00262E0F"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 Roku”</w:t>
                      </w:r>
                      <w:r w:rsidR="00262E0F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 w kategorii „</w:t>
                      </w:r>
                      <w:r w:rsidR="0080026D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>Edukacja</w:t>
                      </w:r>
                      <w:r w:rsidR="00262E0F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 – duża firma”</w:t>
                      </w:r>
                      <w:r w:rsidR="0080026D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 za zaangażowanie w projekt pierwszej leśnej szkoły „Puszczyk”. </w:t>
                      </w:r>
                      <w:r w:rsidR="0080026D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br/>
                      </w:r>
                      <w:r w:rsidR="00262E0F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W ostatnim czasie otwarta została </w:t>
                      </w:r>
                      <w:r w:rsidR="0080026D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także już </w:t>
                      </w:r>
                      <w:r w:rsidR="00262E0F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>30</w:t>
                      </w:r>
                      <w:r w:rsidR="0080026D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>,</w:t>
                      </w:r>
                      <w:r w:rsidR="00262E0F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 jubileuszowa</w:t>
                      </w:r>
                      <w:r w:rsidR="0080026D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>,</w:t>
                      </w:r>
                      <w:r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 </w:t>
                      </w:r>
                      <w:r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Strefa Rodzica</w:t>
                      </w:r>
                      <w:r w:rsidR="00262E0F"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 w Chorzowie</w:t>
                      </w:r>
                    </w:p>
                    <w:p w14:paraId="17EA49C5" w14:textId="2F20A4D7" w:rsidR="00AD3CAD" w:rsidRPr="008C371E" w:rsidRDefault="00AD3CAD" w:rsidP="002B338C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before="20" w:afterLines="40" w:after="96" w:line="252" w:lineRule="auto"/>
                        <w:ind w:left="425" w:hanging="357"/>
                        <w:contextualSpacing w:val="0"/>
                        <w:jc w:val="both"/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Stara się stwarzać pracownikom jak najlepsze warunki pracy. Ponownie znaleźliśmy się na podium rankingu </w:t>
                      </w:r>
                      <w:r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Most </w:t>
                      </w:r>
                      <w:proofErr w:type="spellStart"/>
                      <w:r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Attractive</w:t>
                      </w:r>
                      <w:proofErr w:type="spellEnd"/>
                      <w:r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Employers</w:t>
                      </w:r>
                      <w:proofErr w:type="spellEnd"/>
                      <w:r w:rsidRPr="008C371E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 Poland 2019</w:t>
                      </w:r>
                      <w:r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 </w:t>
                      </w:r>
                      <w:r w:rsidR="00924306" w:rsidRPr="008C371E">
                        <w:rPr>
                          <w:rFonts w:ascii="Tahoma" w:hAnsi="Tahoma" w:cs="Tahoma"/>
                          <w:color w:val="404040" w:themeColor="text1" w:themeTint="BF"/>
                          <w:sz w:val="19"/>
                          <w:szCs w:val="19"/>
                        </w:rPr>
                        <w:t xml:space="preserve">w kategorii „Inżynieria” </w:t>
                      </w:r>
                    </w:p>
                  </w:txbxContent>
                </v:textbox>
              </v:shape>
            </w:pict>
          </mc:Fallback>
        </mc:AlternateContent>
      </w:r>
      <w:r w:rsidR="000A0F49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  <w:t xml:space="preserve">Aktualna oferta Budimex Nieruchomości to </w:t>
      </w:r>
      <w:r w:rsidR="000A0F49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prawie </w:t>
      </w:r>
      <w:r w:rsidR="006F583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2 </w:t>
      </w:r>
      <w:r w:rsidR="000A0F49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tysiąc</w:t>
      </w:r>
      <w:r w:rsidR="006F583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e</w:t>
      </w:r>
      <w:r w:rsidR="000A0F49" w:rsidRPr="000A0F49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mieszkań w </w:t>
      </w:r>
      <w:r w:rsidR="006F583C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>5</w:t>
      </w:r>
      <w:r w:rsidR="000A0F49" w:rsidRPr="000A0F49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  <w:t xml:space="preserve"> lokalizacjach </w:t>
      </w:r>
    </w:p>
    <w:p w14:paraId="75F90B52" w14:textId="77777777" w:rsidR="00CC0A78" w:rsidRPr="00CC0A78" w:rsidRDefault="00CC0A78" w:rsidP="00CC0A78">
      <w:pPr>
        <w:autoSpaceDE w:val="0"/>
        <w:autoSpaceDN w:val="0"/>
        <w:adjustRightInd w:val="0"/>
        <w:spacing w:before="120" w:after="120" w:line="288" w:lineRule="auto"/>
        <w:ind w:left="68"/>
        <w:jc w:val="both"/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pl-PL"/>
        </w:rPr>
      </w:pPr>
    </w:p>
    <w:p w14:paraId="229DCC55" w14:textId="0C4BE4AB" w:rsidR="00AC238B" w:rsidRDefault="00AC238B" w:rsidP="00F46B6C">
      <w:pPr>
        <w:autoSpaceDE w:val="0"/>
        <w:autoSpaceDN w:val="0"/>
        <w:adjustRightInd w:val="0"/>
        <w:spacing w:before="120" w:after="120" w:line="288" w:lineRule="auto"/>
        <w:ind w:left="68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</w:p>
    <w:p w14:paraId="1AB493C6" w14:textId="77777777" w:rsidR="00AC238B" w:rsidRPr="00F46B6C" w:rsidRDefault="00AC238B" w:rsidP="00F46B6C">
      <w:pPr>
        <w:autoSpaceDE w:val="0"/>
        <w:autoSpaceDN w:val="0"/>
        <w:adjustRightInd w:val="0"/>
        <w:spacing w:before="120" w:after="120" w:line="288" w:lineRule="auto"/>
        <w:ind w:left="68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</w:p>
    <w:p w14:paraId="1C95E3EE" w14:textId="77777777" w:rsidR="00FD55B4" w:rsidRDefault="00FD55B4" w:rsidP="00DA29A0">
      <w:pPr>
        <w:autoSpaceDE w:val="0"/>
        <w:autoSpaceDN w:val="0"/>
        <w:adjustRightInd w:val="0"/>
        <w:spacing w:beforeLines="120" w:before="288" w:afterLines="120" w:after="288" w:line="288" w:lineRule="auto"/>
        <w:jc w:val="both"/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lang w:eastAsia="pl-PL"/>
        </w:rPr>
      </w:pPr>
    </w:p>
    <w:p w14:paraId="3D55E280" w14:textId="77777777" w:rsidR="00FD55B4" w:rsidRDefault="00FD55B4" w:rsidP="00DA29A0">
      <w:pPr>
        <w:autoSpaceDE w:val="0"/>
        <w:autoSpaceDN w:val="0"/>
        <w:adjustRightInd w:val="0"/>
        <w:spacing w:beforeLines="120" w:before="288" w:afterLines="120" w:after="288" w:line="288" w:lineRule="auto"/>
        <w:jc w:val="both"/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lang w:eastAsia="pl-PL"/>
        </w:rPr>
      </w:pPr>
    </w:p>
    <w:p w14:paraId="22DF1574" w14:textId="77777777" w:rsidR="00FD55B4" w:rsidRDefault="00FD55B4" w:rsidP="00DA29A0">
      <w:pPr>
        <w:autoSpaceDE w:val="0"/>
        <w:autoSpaceDN w:val="0"/>
        <w:adjustRightInd w:val="0"/>
        <w:spacing w:beforeLines="120" w:before="288" w:afterLines="120" w:after="288" w:line="288" w:lineRule="auto"/>
        <w:jc w:val="both"/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lang w:eastAsia="pl-PL"/>
        </w:rPr>
      </w:pPr>
    </w:p>
    <w:p w14:paraId="6346CB85" w14:textId="77777777" w:rsidR="00FD55B4" w:rsidRDefault="00FD55B4" w:rsidP="00DA29A0">
      <w:pPr>
        <w:autoSpaceDE w:val="0"/>
        <w:autoSpaceDN w:val="0"/>
        <w:adjustRightInd w:val="0"/>
        <w:spacing w:beforeLines="120" w:before="288" w:afterLines="120" w:after="288" w:line="288" w:lineRule="auto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</w:p>
    <w:p w14:paraId="2DFA98FD" w14:textId="77777777" w:rsidR="000D18B7" w:rsidRDefault="000D18B7" w:rsidP="00DA29A0">
      <w:pPr>
        <w:autoSpaceDE w:val="0"/>
        <w:autoSpaceDN w:val="0"/>
        <w:adjustRightInd w:val="0"/>
        <w:spacing w:beforeLines="120" w:before="288" w:afterLines="120" w:after="288" w:line="288" w:lineRule="auto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</w:p>
    <w:p w14:paraId="01CBFC6D" w14:textId="77777777" w:rsidR="00DA29A0" w:rsidRDefault="00DA29A0" w:rsidP="00DA29A0">
      <w:pPr>
        <w:autoSpaceDE w:val="0"/>
        <w:autoSpaceDN w:val="0"/>
        <w:adjustRightInd w:val="0"/>
        <w:spacing w:beforeLines="120" w:before="288" w:afterLines="120" w:after="288" w:line="288" w:lineRule="auto"/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</w:p>
    <w:p w14:paraId="4C93AFA4" w14:textId="77777777" w:rsidR="0074117E" w:rsidRPr="00413448" w:rsidRDefault="00574C2A" w:rsidP="008C371E">
      <w:pPr>
        <w:autoSpaceDE w:val="0"/>
        <w:autoSpaceDN w:val="0"/>
        <w:adjustRightInd w:val="0"/>
        <w:spacing w:beforeLines="120" w:before="288" w:afterLines="120" w:after="288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E01B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84A84E" wp14:editId="2198B1EE">
                <wp:simplePos x="0" y="0"/>
                <wp:positionH relativeFrom="column">
                  <wp:posOffset>-47625</wp:posOffset>
                </wp:positionH>
                <wp:positionV relativeFrom="paragraph">
                  <wp:posOffset>221615</wp:posOffset>
                </wp:positionV>
                <wp:extent cx="6467475" cy="192830"/>
                <wp:effectExtent l="0" t="0" r="28575" b="1714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92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FDDFD" w14:textId="77777777" w:rsidR="00FD55B4" w:rsidRPr="005D510A" w:rsidRDefault="00FD55B4" w:rsidP="00FD55B4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D510A">
                              <w:rPr>
                                <w:rFonts w:ascii="Tahoma" w:hAnsi="Tahoma" w:cs="Tahoma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Kontakt: </w:t>
                            </w:r>
                            <w:r w:rsidRPr="005D510A">
                              <w:rPr>
                                <w:rFonts w:ascii="Tahoma" w:hAnsi="Tahoma" w:cs="Tahoma"/>
                                <w:b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Michał Wrzosek, rzecznik prasowy</w:t>
                            </w:r>
                            <w:r w:rsidRPr="005D510A">
                              <w:rPr>
                                <w:rFonts w:ascii="Tahoma" w:hAnsi="Tahoma" w:cs="Tahoma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tel. </w:t>
                            </w:r>
                            <w:r w:rsidRPr="005D510A">
                              <w:rPr>
                                <w:rFonts w:ascii="Tahoma" w:hAnsi="Tahoma" w:cs="Tahoma"/>
                                <w:i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 xml:space="preserve">(22) 62 36 164, </w:t>
                            </w:r>
                            <w:proofErr w:type="spellStart"/>
                            <w:r w:rsidRPr="005D510A">
                              <w:rPr>
                                <w:rFonts w:ascii="Tahoma" w:hAnsi="Tahoma" w:cs="Tahoma"/>
                                <w:i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>kom</w:t>
                            </w:r>
                            <w:proofErr w:type="spellEnd"/>
                            <w:r w:rsidRPr="005D510A">
                              <w:rPr>
                                <w:rFonts w:ascii="Tahoma" w:hAnsi="Tahoma" w:cs="Tahoma"/>
                                <w:i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>. +48 512 478 522, email: michal.wrzosek@budimex.pl</w:t>
                            </w:r>
                          </w:p>
                          <w:p w14:paraId="2AA3FA52" w14:textId="77777777" w:rsidR="00FD55B4" w:rsidRPr="005D510A" w:rsidRDefault="00FD55B4" w:rsidP="00FD55B4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FC6D33C" w14:textId="77777777" w:rsidR="00FD55B4" w:rsidRPr="005D510A" w:rsidRDefault="00FD55B4" w:rsidP="00FD55B4">
                            <w:pPr>
                              <w:pStyle w:val="Nagwek"/>
                              <w:spacing w:before="180" w:after="180" w:line="288" w:lineRule="auto"/>
                              <w:ind w:left="425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A84E" id="Pole tekstowe 11" o:spid="_x0000_s1030" type="#_x0000_t202" style="position:absolute;margin-left:-3.75pt;margin-top:17.45pt;width:509.25pt;height:1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" fillcolor="#d8d8d8 [2732]" strokecolor="#404040 [2429]" strokeweight=".5pt">
                <v:stroke dashstyle="dash"/>
                <v:textbox inset="0,1mm,2mm,0">
                  <w:txbxContent>
                    <w:p w14:paraId="3C6FDDFD" w14:textId="77777777" w:rsidR="00FD55B4" w:rsidRPr="005D510A" w:rsidRDefault="00FD55B4" w:rsidP="00FD55B4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i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</w:pPr>
                      <w:r w:rsidRPr="005D510A">
                        <w:rPr>
                          <w:rFonts w:ascii="Tahoma" w:hAnsi="Tahoma" w:cs="Tahoma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Kontakt: </w:t>
                      </w:r>
                      <w:r w:rsidRPr="005D510A">
                        <w:rPr>
                          <w:rFonts w:ascii="Tahoma" w:hAnsi="Tahoma" w:cs="Tahoma"/>
                          <w:b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Michał Wrzosek, rzecznik prasowy</w:t>
                      </w:r>
                      <w:r w:rsidRPr="005D510A">
                        <w:rPr>
                          <w:rFonts w:ascii="Tahoma" w:hAnsi="Tahoma" w:cs="Tahoma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 tel. </w:t>
                      </w:r>
                      <w:r w:rsidRPr="005D510A">
                        <w:rPr>
                          <w:rFonts w:ascii="Tahoma" w:hAnsi="Tahoma" w:cs="Tahoma"/>
                          <w:i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 xml:space="preserve">(22) 62 36 164, </w:t>
                      </w:r>
                      <w:proofErr w:type="spellStart"/>
                      <w:r w:rsidRPr="005D510A">
                        <w:rPr>
                          <w:rFonts w:ascii="Tahoma" w:hAnsi="Tahoma" w:cs="Tahoma"/>
                          <w:i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>kom</w:t>
                      </w:r>
                      <w:proofErr w:type="spellEnd"/>
                      <w:r w:rsidRPr="005D510A">
                        <w:rPr>
                          <w:rFonts w:ascii="Tahoma" w:hAnsi="Tahoma" w:cs="Tahoma"/>
                          <w:i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>. +48 512 478 522, email: michal.wrzosek@budimex.pl</w:t>
                      </w:r>
                    </w:p>
                    <w:p w14:paraId="2AA3FA52" w14:textId="77777777" w:rsidR="00FD55B4" w:rsidRPr="005D510A" w:rsidRDefault="00FD55B4" w:rsidP="00FD55B4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</w:pPr>
                    </w:p>
                    <w:p w14:paraId="6FC6D33C" w14:textId="77777777" w:rsidR="00FD55B4" w:rsidRPr="005D510A" w:rsidRDefault="00FD55B4" w:rsidP="00FD55B4">
                      <w:pPr>
                        <w:pStyle w:val="Nagwek"/>
                        <w:spacing w:before="180" w:after="180" w:line="288" w:lineRule="auto"/>
                        <w:ind w:left="425"/>
                        <w:jc w:val="center"/>
                        <w:rPr>
                          <w:rFonts w:ascii="Tahoma" w:hAnsi="Tahoma" w:cs="Tahoma"/>
                          <w:b/>
                          <w:i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60F2B" w14:textId="744B5A7B" w:rsidR="0074117E" w:rsidRDefault="00755A0A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755A0A">
        <w:rPr>
          <w:noProof/>
        </w:rPr>
        <w:drawing>
          <wp:anchor distT="0" distB="0" distL="114300" distR="114300" simplePos="0" relativeHeight="251762688" behindDoc="0" locked="0" layoutInCell="1" allowOverlap="1" wp14:anchorId="5B1B0A68" wp14:editId="2F4CFD1C">
            <wp:simplePos x="0" y="0"/>
            <wp:positionH relativeFrom="column">
              <wp:posOffset>157480</wp:posOffset>
            </wp:positionH>
            <wp:positionV relativeFrom="paragraph">
              <wp:posOffset>-24130</wp:posOffset>
            </wp:positionV>
            <wp:extent cx="2520000" cy="1236482"/>
            <wp:effectExtent l="0" t="0" r="0" b="190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23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0C50E" w14:textId="77777777" w:rsidR="00DA29A0" w:rsidRDefault="00DA29A0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</w:p>
    <w:p w14:paraId="6CD47B28" w14:textId="77777777" w:rsidR="00DA29A0" w:rsidRDefault="00DA29A0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</w:p>
    <w:p w14:paraId="2E859BE7" w14:textId="5A2E1AA8" w:rsidR="000D18B7" w:rsidRDefault="00595BFA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8C37E2"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018B4E66" wp14:editId="1D889707">
            <wp:simplePos x="0" y="0"/>
            <wp:positionH relativeFrom="column">
              <wp:posOffset>154940</wp:posOffset>
            </wp:positionH>
            <wp:positionV relativeFrom="paragraph">
              <wp:posOffset>195580</wp:posOffset>
            </wp:positionV>
            <wp:extent cx="2520315" cy="194945"/>
            <wp:effectExtent l="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B6E">
        <w:rPr>
          <w:noProof/>
          <w:color w:val="404040" w:themeColor="text1" w:themeTint="BF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F10EA4" wp14:editId="5F07CB50">
                <wp:simplePos x="0" y="0"/>
                <wp:positionH relativeFrom="column">
                  <wp:posOffset>9525</wp:posOffset>
                </wp:positionH>
                <wp:positionV relativeFrom="paragraph">
                  <wp:posOffset>365760</wp:posOffset>
                </wp:positionV>
                <wp:extent cx="922655" cy="191135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19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2698C" w14:textId="77777777" w:rsidR="00F50FFF" w:rsidRPr="00595BFA" w:rsidRDefault="00F50FFF" w:rsidP="00AC238B">
                            <w:pPr>
                              <w:spacing w:after="60"/>
                              <w:jc w:val="center"/>
                              <w:rPr>
                                <w:rFonts w:ascii="Tahoma" w:hAnsi="Tahoma" w:cs="Tahoma"/>
                                <w:color w:val="404040" w:themeColor="text1" w:themeTint="BF"/>
                                <w:sz w:val="14"/>
                              </w:rPr>
                            </w:pPr>
                            <w:r w:rsidRPr="00595BFA">
                              <w:rPr>
                                <w:rFonts w:ascii="Tahoma" w:hAnsi="Tahoma" w:cs="Tahoma"/>
                                <w:color w:val="404040" w:themeColor="text1" w:themeTint="BF"/>
                                <w:sz w:val="14"/>
                              </w:rPr>
                              <w:t>w mld złotych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0EA4" id="Pole tekstowe 12" o:spid="_x0000_s1031" type="#_x0000_t202" style="position:absolute;left:0;text-align:left;margin-left:.75pt;margin-top:28.8pt;width:72.65pt;height:15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" filled="f" stroked="f" strokeweight=".5pt">
                <v:textbox inset="2mm,1mm,2mm,0">
                  <w:txbxContent>
                    <w:p w14:paraId="2C42698C" w14:textId="77777777" w:rsidR="00F50FFF" w:rsidRPr="00595BFA" w:rsidRDefault="00F50FFF" w:rsidP="00AC238B">
                      <w:pPr>
                        <w:spacing w:after="60"/>
                        <w:jc w:val="center"/>
                        <w:rPr>
                          <w:rFonts w:ascii="Tahoma" w:hAnsi="Tahoma" w:cs="Tahoma"/>
                          <w:color w:val="404040" w:themeColor="text1" w:themeTint="BF"/>
                          <w:sz w:val="14"/>
                        </w:rPr>
                      </w:pPr>
                      <w:r w:rsidRPr="00595BFA">
                        <w:rPr>
                          <w:rFonts w:ascii="Tahoma" w:hAnsi="Tahoma" w:cs="Tahoma"/>
                          <w:color w:val="404040" w:themeColor="text1" w:themeTint="BF"/>
                          <w:sz w:val="14"/>
                        </w:rPr>
                        <w:t>w mld złotych</w:t>
                      </w:r>
                    </w:p>
                  </w:txbxContent>
                </v:textbox>
              </v:shape>
            </w:pict>
          </mc:Fallback>
        </mc:AlternateContent>
      </w:r>
    </w:p>
    <w:p w14:paraId="56BAB5D2" w14:textId="35C18502" w:rsidR="000D18B7" w:rsidRDefault="00044C73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044C73">
        <w:rPr>
          <w:noProof/>
        </w:rPr>
        <w:drawing>
          <wp:anchor distT="0" distB="0" distL="114300" distR="114300" simplePos="0" relativeHeight="251658239" behindDoc="0" locked="0" layoutInCell="1" allowOverlap="1" wp14:anchorId="370E2105" wp14:editId="1BC5E74B">
            <wp:simplePos x="0" y="0"/>
            <wp:positionH relativeFrom="column">
              <wp:posOffset>154208</wp:posOffset>
            </wp:positionH>
            <wp:positionV relativeFrom="paragraph">
              <wp:posOffset>2931</wp:posOffset>
            </wp:positionV>
            <wp:extent cx="2520000" cy="1969737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96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E2F60" w14:textId="77777777" w:rsidR="000D18B7" w:rsidRDefault="000D18B7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</w:p>
    <w:p w14:paraId="0DCC59E8" w14:textId="77777777" w:rsidR="000D18B7" w:rsidRDefault="000D18B7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</w:p>
    <w:p w14:paraId="73A1DF90" w14:textId="5F769A35" w:rsidR="000D18B7" w:rsidRDefault="000D18B7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</w:p>
    <w:p w14:paraId="6406DBD0" w14:textId="77777777" w:rsidR="008C371E" w:rsidRDefault="008C371E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</w:p>
    <w:p w14:paraId="240A7FB1" w14:textId="77777777" w:rsidR="00713ED5" w:rsidRDefault="00713ED5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</w:p>
    <w:p w14:paraId="41D15DD3" w14:textId="4FEE9C6E" w:rsidR="000D18B7" w:rsidRDefault="001A018E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1A018E">
        <w:rPr>
          <w:noProof/>
        </w:rPr>
        <w:drawing>
          <wp:anchor distT="0" distB="0" distL="114300" distR="114300" simplePos="0" relativeHeight="251764736" behindDoc="0" locked="0" layoutInCell="1" allowOverlap="1" wp14:anchorId="5F49D00D" wp14:editId="19DEFB6F">
            <wp:simplePos x="0" y="0"/>
            <wp:positionH relativeFrom="column">
              <wp:posOffset>160020</wp:posOffset>
            </wp:positionH>
            <wp:positionV relativeFrom="paragraph">
              <wp:posOffset>150495</wp:posOffset>
            </wp:positionV>
            <wp:extent cx="2520000" cy="1920767"/>
            <wp:effectExtent l="0" t="0" r="0" b="381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92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94E28" w14:textId="77777777" w:rsidR="000D18B7" w:rsidRDefault="000D18B7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</w:p>
    <w:p w14:paraId="38081A97" w14:textId="77777777" w:rsidR="000D18B7" w:rsidRDefault="000D18B7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</w:p>
    <w:p w14:paraId="29F0E654" w14:textId="77777777" w:rsidR="000D18B7" w:rsidRDefault="000D18B7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</w:p>
    <w:p w14:paraId="19C0E555" w14:textId="77777777" w:rsidR="00713ED5" w:rsidRDefault="00713ED5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</w:p>
    <w:p w14:paraId="182AA5EE" w14:textId="77777777" w:rsidR="00713ED5" w:rsidRDefault="00713ED5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</w:p>
    <w:p w14:paraId="372C49D8" w14:textId="77777777" w:rsidR="00713ED5" w:rsidRDefault="00713ED5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</w:p>
    <w:p w14:paraId="3919A7A7" w14:textId="77777777" w:rsidR="000D18B7" w:rsidRDefault="000D18B7" w:rsidP="000B697C">
      <w:pPr>
        <w:autoSpaceDE w:val="0"/>
        <w:autoSpaceDN w:val="0"/>
        <w:adjustRightInd w:val="0"/>
        <w:spacing w:beforeLines="120" w:before="288" w:afterLines="120" w:after="288"/>
        <w:rPr>
          <w:rFonts w:ascii="Tahoma" w:eastAsia="Times New Roman" w:hAnsi="Tahoma" w:cs="Tahoma"/>
          <w:color w:val="404040" w:themeColor="text1" w:themeTint="BF"/>
          <w:lang w:eastAsia="pl-PL"/>
        </w:rPr>
      </w:pPr>
    </w:p>
    <w:p w14:paraId="284196BF" w14:textId="77777777" w:rsidR="000D18B7" w:rsidRDefault="000D18B7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</w:p>
    <w:p w14:paraId="7740F87F" w14:textId="77777777" w:rsidR="000D18B7" w:rsidRDefault="000D18B7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</w:p>
    <w:p w14:paraId="128A1B8C" w14:textId="77777777" w:rsidR="000D18B7" w:rsidRDefault="000D18B7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</w:p>
    <w:p w14:paraId="574F83A1" w14:textId="77777777" w:rsidR="000D18B7" w:rsidRDefault="000D18B7" w:rsidP="00DA29A0">
      <w:pPr>
        <w:autoSpaceDE w:val="0"/>
        <w:autoSpaceDN w:val="0"/>
        <w:adjustRightInd w:val="0"/>
        <w:spacing w:beforeLines="120" w:before="288" w:afterLines="120" w:after="288"/>
        <w:jc w:val="right"/>
        <w:rPr>
          <w:rFonts w:ascii="Tahoma" w:eastAsia="Times New Roman" w:hAnsi="Tahoma" w:cs="Tahoma"/>
          <w:color w:val="404040" w:themeColor="text1" w:themeTint="BF"/>
          <w:lang w:eastAsia="pl-PL"/>
        </w:rPr>
      </w:pPr>
    </w:p>
    <w:p w14:paraId="2079930E" w14:textId="77777777" w:rsidR="004C2425" w:rsidRDefault="004C2425" w:rsidP="00FA4347">
      <w:pPr>
        <w:spacing w:after="120" w:line="240" w:lineRule="auto"/>
        <w:jc w:val="both"/>
        <w:rPr>
          <w:rFonts w:ascii="Tahoma" w:hAnsi="Tahoma" w:cs="Tahoma"/>
          <w:sz w:val="16"/>
          <w:szCs w:val="16"/>
        </w:rPr>
      </w:pPr>
    </w:p>
    <w:p w14:paraId="730B3236" w14:textId="77777777" w:rsidR="00B212C7" w:rsidRDefault="00B212C7" w:rsidP="00FA4347">
      <w:pPr>
        <w:spacing w:after="120" w:line="240" w:lineRule="auto"/>
        <w:jc w:val="both"/>
        <w:rPr>
          <w:rFonts w:ascii="Tahoma" w:hAnsi="Tahoma" w:cs="Tahoma"/>
          <w:sz w:val="16"/>
          <w:szCs w:val="16"/>
        </w:rPr>
      </w:pPr>
    </w:p>
    <w:sectPr w:rsidR="00B212C7" w:rsidSect="00F410EE">
      <w:headerReference w:type="default" r:id="rId28"/>
      <w:footerReference w:type="default" r:id="rId29"/>
      <w:pgSz w:w="11906" w:h="16838"/>
      <w:pgMar w:top="851" w:right="991" w:bottom="709" w:left="993" w:header="426" w:footer="260" w:gutter="0"/>
      <w:cols w:num="2" w:space="200" w:equalWidth="0">
        <w:col w:w="5811" w:space="200"/>
        <w:col w:w="391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7A882" w14:textId="77777777" w:rsidR="005A48B8" w:rsidRDefault="005A48B8">
      <w:pPr>
        <w:spacing w:after="0" w:line="240" w:lineRule="auto"/>
      </w:pPr>
      <w:r>
        <w:separator/>
      </w:r>
    </w:p>
  </w:endnote>
  <w:endnote w:type="continuationSeparator" w:id="0">
    <w:p w14:paraId="27E3EBB5" w14:textId="77777777" w:rsidR="005A48B8" w:rsidRDefault="005A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923274"/>
      <w:docPartObj>
        <w:docPartGallery w:val="Page Numbers (Bottom of Page)"/>
        <w:docPartUnique/>
      </w:docPartObj>
    </w:sdtPr>
    <w:sdtEndPr/>
    <w:sdtContent>
      <w:p w14:paraId="785AFD46" w14:textId="77777777" w:rsidR="003178FB" w:rsidRDefault="003178FB" w:rsidP="003178FB">
        <w:pPr>
          <w:pStyle w:val="Stopka"/>
          <w:jc w:val="center"/>
        </w:pPr>
      </w:p>
      <w:p w14:paraId="55B36CED" w14:textId="67E20685" w:rsidR="003178FB" w:rsidRPr="003178FB" w:rsidRDefault="003178FB" w:rsidP="003178FB">
        <w:pPr>
          <w:pStyle w:val="Stopka"/>
          <w:jc w:val="center"/>
          <w:rPr>
            <w:rFonts w:ascii="Tahoma" w:hAnsi="Tahoma" w:cs="Tahoma"/>
            <w:i/>
            <w:color w:val="A6A6A6" w:themeColor="background1" w:themeShade="A6"/>
            <w:sz w:val="16"/>
            <w:szCs w:val="16"/>
          </w:rPr>
        </w:pPr>
        <w:r>
          <w:rPr>
            <w:rFonts w:ascii="Tahoma" w:hAnsi="Tahoma" w:cs="Tahoma"/>
            <w:i/>
            <w:color w:val="A6A6A6" w:themeColor="background1" w:themeShade="A6"/>
            <w:sz w:val="16"/>
            <w:szCs w:val="16"/>
          </w:rPr>
          <w:t xml:space="preserve">Grupa Budimex. </w:t>
        </w:r>
        <w:r w:rsidRPr="003178FB">
          <w:rPr>
            <w:rFonts w:ascii="Tahoma" w:hAnsi="Tahoma" w:cs="Tahoma"/>
            <w:i/>
            <w:color w:val="A6A6A6" w:themeColor="background1" w:themeShade="A6"/>
            <w:sz w:val="16"/>
            <w:szCs w:val="16"/>
          </w:rPr>
          <w:t xml:space="preserve">Informacja prasowa </w:t>
        </w:r>
        <w:r w:rsidRPr="003178FB">
          <w:rPr>
            <w:rFonts w:ascii="Tahoma" w:hAnsi="Tahoma" w:cs="Tahoma"/>
            <w:b/>
            <w:i/>
            <w:color w:val="A6A6A6" w:themeColor="background1" w:themeShade="A6"/>
            <w:sz w:val="16"/>
            <w:szCs w:val="16"/>
          </w:rPr>
          <w:t>styczeń-</w:t>
        </w:r>
        <w:r w:rsidR="007C3B26">
          <w:rPr>
            <w:rFonts w:ascii="Tahoma" w:hAnsi="Tahoma" w:cs="Tahoma"/>
            <w:b/>
            <w:i/>
            <w:color w:val="A6A6A6" w:themeColor="background1" w:themeShade="A6"/>
            <w:sz w:val="16"/>
            <w:szCs w:val="16"/>
          </w:rPr>
          <w:t>czerwiec</w:t>
        </w:r>
        <w:r w:rsidR="00E11262">
          <w:rPr>
            <w:rFonts w:ascii="Tahoma" w:hAnsi="Tahoma" w:cs="Tahoma"/>
            <w:b/>
            <w:i/>
            <w:color w:val="A6A6A6" w:themeColor="background1" w:themeShade="A6"/>
            <w:sz w:val="16"/>
            <w:szCs w:val="16"/>
          </w:rPr>
          <w:t xml:space="preserve"> 2019</w:t>
        </w:r>
        <w:r w:rsidRPr="003178FB">
          <w:rPr>
            <w:rFonts w:ascii="Tahoma" w:hAnsi="Tahoma" w:cs="Tahoma"/>
            <w:i/>
            <w:color w:val="A6A6A6" w:themeColor="background1" w:themeShade="A6"/>
            <w:sz w:val="16"/>
            <w:szCs w:val="16"/>
          </w:rPr>
          <w:t>. Wszystkie wartości w milionach złotych o ile nie napisano inaczej.</w:t>
        </w:r>
      </w:p>
      <w:p w14:paraId="5F669BBC" w14:textId="77777777" w:rsidR="00443E75" w:rsidRDefault="00A237FB" w:rsidP="003178FB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5B6A" w14:textId="77777777" w:rsidR="005A48B8" w:rsidRDefault="005A48B8">
      <w:pPr>
        <w:spacing w:after="0" w:line="240" w:lineRule="auto"/>
      </w:pPr>
      <w:r>
        <w:separator/>
      </w:r>
    </w:p>
  </w:footnote>
  <w:footnote w:type="continuationSeparator" w:id="0">
    <w:p w14:paraId="77FDA097" w14:textId="77777777" w:rsidR="005A48B8" w:rsidRDefault="005A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A0B25" w14:textId="78304E3D" w:rsidR="00443E75" w:rsidRPr="00413448" w:rsidRDefault="00443E75" w:rsidP="00656A5F">
    <w:pPr>
      <w:pStyle w:val="Nagwek"/>
      <w:jc w:val="right"/>
      <w:rPr>
        <w:rFonts w:ascii="Tahoma" w:hAnsi="Tahoma" w:cs="Tahoma"/>
        <w:b/>
        <w:color w:val="808080"/>
        <w:sz w:val="22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9423B" wp14:editId="201E9C5D">
          <wp:simplePos x="0" y="0"/>
          <wp:positionH relativeFrom="column">
            <wp:posOffset>24015</wp:posOffset>
          </wp:positionH>
          <wp:positionV relativeFrom="paragraph">
            <wp:posOffset>-83473</wp:posOffset>
          </wp:positionV>
          <wp:extent cx="727363" cy="210126"/>
          <wp:effectExtent l="0" t="0" r="0" b="0"/>
          <wp:wrapNone/>
          <wp:docPr id="10" name="Obraz 10" descr="Opis: budimex_PRINC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udimex_PRINC_po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07" cy="2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13448">
      <w:rPr>
        <w:rFonts w:ascii="Tahoma" w:hAnsi="Tahoma" w:cs="Tahoma"/>
        <w:color w:val="808080"/>
      </w:rPr>
      <w:t xml:space="preserve">                                              </w:t>
    </w:r>
    <w:r w:rsidR="00656A5F" w:rsidRPr="00413448">
      <w:rPr>
        <w:rFonts w:ascii="Tahoma" w:hAnsi="Tahoma" w:cs="Tahoma"/>
        <w:color w:val="808080"/>
        <w:sz w:val="22"/>
        <w:szCs w:val="28"/>
      </w:rPr>
      <w:t>Informacja prasowa</w:t>
    </w:r>
    <w:r w:rsidR="00413448" w:rsidRPr="00413448">
      <w:rPr>
        <w:rFonts w:ascii="Tahoma" w:hAnsi="Tahoma" w:cs="Tahoma"/>
        <w:b/>
        <w:color w:val="808080"/>
        <w:sz w:val="22"/>
        <w:szCs w:val="28"/>
      </w:rPr>
      <w:t xml:space="preserve"> styczeń-</w:t>
    </w:r>
    <w:r w:rsidR="00A17B5A">
      <w:rPr>
        <w:rFonts w:ascii="Tahoma" w:hAnsi="Tahoma" w:cs="Tahoma"/>
        <w:b/>
        <w:color w:val="808080"/>
        <w:sz w:val="22"/>
        <w:szCs w:val="28"/>
      </w:rPr>
      <w:t>czerwiec</w:t>
    </w:r>
    <w:r w:rsidR="008D2215">
      <w:rPr>
        <w:rFonts w:ascii="Tahoma" w:hAnsi="Tahoma" w:cs="Tahoma"/>
        <w:b/>
        <w:color w:val="808080"/>
        <w:sz w:val="22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A1263"/>
    <w:multiLevelType w:val="hybridMultilevel"/>
    <w:tmpl w:val="087A7C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023"/>
    <w:multiLevelType w:val="hybridMultilevel"/>
    <w:tmpl w:val="724A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B68B6"/>
    <w:multiLevelType w:val="hybridMultilevel"/>
    <w:tmpl w:val="C0344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6D"/>
    <w:rsid w:val="00000ADD"/>
    <w:rsid w:val="00002445"/>
    <w:rsid w:val="00002D8D"/>
    <w:rsid w:val="00005B00"/>
    <w:rsid w:val="00006DAD"/>
    <w:rsid w:val="00006F16"/>
    <w:rsid w:val="00007CED"/>
    <w:rsid w:val="00012BD3"/>
    <w:rsid w:val="00013DDC"/>
    <w:rsid w:val="000143E1"/>
    <w:rsid w:val="000150B5"/>
    <w:rsid w:val="00015571"/>
    <w:rsid w:val="00015CA9"/>
    <w:rsid w:val="00015D17"/>
    <w:rsid w:val="00015E18"/>
    <w:rsid w:val="0001686D"/>
    <w:rsid w:val="0002472B"/>
    <w:rsid w:val="0002512E"/>
    <w:rsid w:val="00027A0D"/>
    <w:rsid w:val="000302A8"/>
    <w:rsid w:val="00031B45"/>
    <w:rsid w:val="00035187"/>
    <w:rsid w:val="00035E44"/>
    <w:rsid w:val="00043FAD"/>
    <w:rsid w:val="00044C73"/>
    <w:rsid w:val="00046A59"/>
    <w:rsid w:val="0005186F"/>
    <w:rsid w:val="000536CC"/>
    <w:rsid w:val="000544AB"/>
    <w:rsid w:val="00054B01"/>
    <w:rsid w:val="0005636C"/>
    <w:rsid w:val="000611CA"/>
    <w:rsid w:val="00061E8D"/>
    <w:rsid w:val="00066CBA"/>
    <w:rsid w:val="00066D04"/>
    <w:rsid w:val="00070F13"/>
    <w:rsid w:val="000717E2"/>
    <w:rsid w:val="0007273E"/>
    <w:rsid w:val="000750B2"/>
    <w:rsid w:val="00083BF1"/>
    <w:rsid w:val="00086502"/>
    <w:rsid w:val="0009329D"/>
    <w:rsid w:val="0009546B"/>
    <w:rsid w:val="0009760A"/>
    <w:rsid w:val="000A0F49"/>
    <w:rsid w:val="000A393E"/>
    <w:rsid w:val="000A50D8"/>
    <w:rsid w:val="000A6A68"/>
    <w:rsid w:val="000A79F5"/>
    <w:rsid w:val="000B0499"/>
    <w:rsid w:val="000B17AE"/>
    <w:rsid w:val="000B697C"/>
    <w:rsid w:val="000C1D7C"/>
    <w:rsid w:val="000C492C"/>
    <w:rsid w:val="000C5F20"/>
    <w:rsid w:val="000C73E9"/>
    <w:rsid w:val="000D186E"/>
    <w:rsid w:val="000D18B7"/>
    <w:rsid w:val="000D608F"/>
    <w:rsid w:val="000D7B55"/>
    <w:rsid w:val="000E07D2"/>
    <w:rsid w:val="000E11F1"/>
    <w:rsid w:val="000E1CB9"/>
    <w:rsid w:val="000E376D"/>
    <w:rsid w:val="000E3EB2"/>
    <w:rsid w:val="000E77C2"/>
    <w:rsid w:val="000F1C3A"/>
    <w:rsid w:val="000F3BF6"/>
    <w:rsid w:val="000F40FA"/>
    <w:rsid w:val="000F4323"/>
    <w:rsid w:val="000F6389"/>
    <w:rsid w:val="000F7013"/>
    <w:rsid w:val="00102994"/>
    <w:rsid w:val="00103B50"/>
    <w:rsid w:val="001046F9"/>
    <w:rsid w:val="00106EE5"/>
    <w:rsid w:val="00106FBD"/>
    <w:rsid w:val="0011139D"/>
    <w:rsid w:val="001146D1"/>
    <w:rsid w:val="001146F9"/>
    <w:rsid w:val="001158F2"/>
    <w:rsid w:val="00117D8D"/>
    <w:rsid w:val="00120F83"/>
    <w:rsid w:val="001212FE"/>
    <w:rsid w:val="00123AF4"/>
    <w:rsid w:val="001263A7"/>
    <w:rsid w:val="00126412"/>
    <w:rsid w:val="0012672F"/>
    <w:rsid w:val="00130287"/>
    <w:rsid w:val="001309E7"/>
    <w:rsid w:val="00131185"/>
    <w:rsid w:val="00132808"/>
    <w:rsid w:val="0013418A"/>
    <w:rsid w:val="001353CA"/>
    <w:rsid w:val="001365F7"/>
    <w:rsid w:val="0014150D"/>
    <w:rsid w:val="00143B9B"/>
    <w:rsid w:val="001446B7"/>
    <w:rsid w:val="00151EF0"/>
    <w:rsid w:val="001550D9"/>
    <w:rsid w:val="001568E2"/>
    <w:rsid w:val="00156A21"/>
    <w:rsid w:val="0016357F"/>
    <w:rsid w:val="00166726"/>
    <w:rsid w:val="00166E26"/>
    <w:rsid w:val="001701E4"/>
    <w:rsid w:val="00171025"/>
    <w:rsid w:val="00171462"/>
    <w:rsid w:val="00171CFD"/>
    <w:rsid w:val="00172229"/>
    <w:rsid w:val="00172E2A"/>
    <w:rsid w:val="00175351"/>
    <w:rsid w:val="00175884"/>
    <w:rsid w:val="001769D2"/>
    <w:rsid w:val="00180E54"/>
    <w:rsid w:val="0018339B"/>
    <w:rsid w:val="00184A9C"/>
    <w:rsid w:val="001866B8"/>
    <w:rsid w:val="001873A7"/>
    <w:rsid w:val="00187FF6"/>
    <w:rsid w:val="00193E67"/>
    <w:rsid w:val="00196274"/>
    <w:rsid w:val="00196CAA"/>
    <w:rsid w:val="00197E8F"/>
    <w:rsid w:val="001A018E"/>
    <w:rsid w:val="001A1B8E"/>
    <w:rsid w:val="001A1E40"/>
    <w:rsid w:val="001A5A1E"/>
    <w:rsid w:val="001B2EDD"/>
    <w:rsid w:val="001C2AAD"/>
    <w:rsid w:val="001C30C8"/>
    <w:rsid w:val="001D31AC"/>
    <w:rsid w:val="001D6505"/>
    <w:rsid w:val="001E031D"/>
    <w:rsid w:val="001E3DA9"/>
    <w:rsid w:val="001E62A8"/>
    <w:rsid w:val="001E652D"/>
    <w:rsid w:val="001E7B6A"/>
    <w:rsid w:val="00201C91"/>
    <w:rsid w:val="00202BB1"/>
    <w:rsid w:val="002069D0"/>
    <w:rsid w:val="0021394F"/>
    <w:rsid w:val="00217295"/>
    <w:rsid w:val="002209DF"/>
    <w:rsid w:val="002239DC"/>
    <w:rsid w:val="00223DD5"/>
    <w:rsid w:val="00226A09"/>
    <w:rsid w:val="002271BF"/>
    <w:rsid w:val="0022760E"/>
    <w:rsid w:val="00227D05"/>
    <w:rsid w:val="00230259"/>
    <w:rsid w:val="00230F45"/>
    <w:rsid w:val="00232F32"/>
    <w:rsid w:val="00236F88"/>
    <w:rsid w:val="00237D9D"/>
    <w:rsid w:val="00240F97"/>
    <w:rsid w:val="002418A0"/>
    <w:rsid w:val="00246908"/>
    <w:rsid w:val="00255AD1"/>
    <w:rsid w:val="00257E4E"/>
    <w:rsid w:val="00260221"/>
    <w:rsid w:val="00261350"/>
    <w:rsid w:val="002618A9"/>
    <w:rsid w:val="00262E0F"/>
    <w:rsid w:val="00266D7C"/>
    <w:rsid w:val="00266DA1"/>
    <w:rsid w:val="00270C40"/>
    <w:rsid w:val="00271673"/>
    <w:rsid w:val="00271E2F"/>
    <w:rsid w:val="0027327E"/>
    <w:rsid w:val="00274011"/>
    <w:rsid w:val="0027459B"/>
    <w:rsid w:val="00284F30"/>
    <w:rsid w:val="00285E8D"/>
    <w:rsid w:val="00292F3C"/>
    <w:rsid w:val="0029439B"/>
    <w:rsid w:val="00297F9D"/>
    <w:rsid w:val="002A46CA"/>
    <w:rsid w:val="002B0751"/>
    <w:rsid w:val="002B273E"/>
    <w:rsid w:val="002B604F"/>
    <w:rsid w:val="002B6328"/>
    <w:rsid w:val="002B65CF"/>
    <w:rsid w:val="002B6DE2"/>
    <w:rsid w:val="002C0BAE"/>
    <w:rsid w:val="002C1682"/>
    <w:rsid w:val="002C7EA0"/>
    <w:rsid w:val="002D2D9E"/>
    <w:rsid w:val="002D41C8"/>
    <w:rsid w:val="002D48A1"/>
    <w:rsid w:val="002D7B56"/>
    <w:rsid w:val="002F1239"/>
    <w:rsid w:val="002F320E"/>
    <w:rsid w:val="002F3446"/>
    <w:rsid w:val="002F39F8"/>
    <w:rsid w:val="002F66D3"/>
    <w:rsid w:val="002F7553"/>
    <w:rsid w:val="002F77F5"/>
    <w:rsid w:val="003013FE"/>
    <w:rsid w:val="003125A0"/>
    <w:rsid w:val="0031262B"/>
    <w:rsid w:val="003178FB"/>
    <w:rsid w:val="00320E63"/>
    <w:rsid w:val="00320F7D"/>
    <w:rsid w:val="003230F8"/>
    <w:rsid w:val="0032728F"/>
    <w:rsid w:val="00334374"/>
    <w:rsid w:val="003377EA"/>
    <w:rsid w:val="003417DB"/>
    <w:rsid w:val="00343849"/>
    <w:rsid w:val="00345D46"/>
    <w:rsid w:val="00350DFB"/>
    <w:rsid w:val="0035393A"/>
    <w:rsid w:val="003549F5"/>
    <w:rsid w:val="00355B1A"/>
    <w:rsid w:val="00360A1C"/>
    <w:rsid w:val="003625B3"/>
    <w:rsid w:val="0037471A"/>
    <w:rsid w:val="00384C27"/>
    <w:rsid w:val="00387E4F"/>
    <w:rsid w:val="00390E52"/>
    <w:rsid w:val="003911DC"/>
    <w:rsid w:val="00391561"/>
    <w:rsid w:val="00391573"/>
    <w:rsid w:val="003917A7"/>
    <w:rsid w:val="003921DB"/>
    <w:rsid w:val="003946CB"/>
    <w:rsid w:val="003A3BFA"/>
    <w:rsid w:val="003A3ED2"/>
    <w:rsid w:val="003A5CC0"/>
    <w:rsid w:val="003A6D66"/>
    <w:rsid w:val="003A7AD8"/>
    <w:rsid w:val="003B3BB5"/>
    <w:rsid w:val="003B54C3"/>
    <w:rsid w:val="003B666E"/>
    <w:rsid w:val="003B7263"/>
    <w:rsid w:val="003C0E35"/>
    <w:rsid w:val="003C546E"/>
    <w:rsid w:val="003C743F"/>
    <w:rsid w:val="003C7745"/>
    <w:rsid w:val="003C7DAE"/>
    <w:rsid w:val="003C7FEB"/>
    <w:rsid w:val="003D053E"/>
    <w:rsid w:val="003D3A09"/>
    <w:rsid w:val="003D46CA"/>
    <w:rsid w:val="003D6766"/>
    <w:rsid w:val="003D6FC3"/>
    <w:rsid w:val="003D7DEF"/>
    <w:rsid w:val="003E1404"/>
    <w:rsid w:val="003E20ED"/>
    <w:rsid w:val="003E70EB"/>
    <w:rsid w:val="003F12A9"/>
    <w:rsid w:val="003F4E6A"/>
    <w:rsid w:val="003F5160"/>
    <w:rsid w:val="003F6E8A"/>
    <w:rsid w:val="00401364"/>
    <w:rsid w:val="0040156F"/>
    <w:rsid w:val="00402CA9"/>
    <w:rsid w:val="00404D4D"/>
    <w:rsid w:val="00405284"/>
    <w:rsid w:val="00411304"/>
    <w:rsid w:val="00413448"/>
    <w:rsid w:val="00414552"/>
    <w:rsid w:val="00415B37"/>
    <w:rsid w:val="004178FF"/>
    <w:rsid w:val="00417B2A"/>
    <w:rsid w:val="00422DF4"/>
    <w:rsid w:val="0042402D"/>
    <w:rsid w:val="00426056"/>
    <w:rsid w:val="004274CF"/>
    <w:rsid w:val="00427E4C"/>
    <w:rsid w:val="00427F41"/>
    <w:rsid w:val="0043101D"/>
    <w:rsid w:val="00432029"/>
    <w:rsid w:val="004341FE"/>
    <w:rsid w:val="00435CEF"/>
    <w:rsid w:val="004376CD"/>
    <w:rsid w:val="00437DCD"/>
    <w:rsid w:val="00443E75"/>
    <w:rsid w:val="00443ED3"/>
    <w:rsid w:val="00450576"/>
    <w:rsid w:val="0045542F"/>
    <w:rsid w:val="00464C4B"/>
    <w:rsid w:val="00465A5B"/>
    <w:rsid w:val="00467234"/>
    <w:rsid w:val="0047065A"/>
    <w:rsid w:val="004733BF"/>
    <w:rsid w:val="00473904"/>
    <w:rsid w:val="00484BEB"/>
    <w:rsid w:val="00494154"/>
    <w:rsid w:val="0049789C"/>
    <w:rsid w:val="004A28DE"/>
    <w:rsid w:val="004B1AC3"/>
    <w:rsid w:val="004B1E2F"/>
    <w:rsid w:val="004B43E2"/>
    <w:rsid w:val="004B49E9"/>
    <w:rsid w:val="004B71B6"/>
    <w:rsid w:val="004B79EF"/>
    <w:rsid w:val="004C2425"/>
    <w:rsid w:val="004D57DA"/>
    <w:rsid w:val="004D61F0"/>
    <w:rsid w:val="004D7A08"/>
    <w:rsid w:val="004E19C7"/>
    <w:rsid w:val="004E3919"/>
    <w:rsid w:val="004E4D86"/>
    <w:rsid w:val="004E4EFC"/>
    <w:rsid w:val="004E53A7"/>
    <w:rsid w:val="004E5465"/>
    <w:rsid w:val="004E6ABA"/>
    <w:rsid w:val="004E7128"/>
    <w:rsid w:val="004F0D34"/>
    <w:rsid w:val="004F1EF0"/>
    <w:rsid w:val="004F527B"/>
    <w:rsid w:val="004F5E83"/>
    <w:rsid w:val="004F6359"/>
    <w:rsid w:val="004F716D"/>
    <w:rsid w:val="005029FD"/>
    <w:rsid w:val="00503F0A"/>
    <w:rsid w:val="00511D05"/>
    <w:rsid w:val="0051496D"/>
    <w:rsid w:val="005164C7"/>
    <w:rsid w:val="00522774"/>
    <w:rsid w:val="005239F5"/>
    <w:rsid w:val="00526E50"/>
    <w:rsid w:val="0052788E"/>
    <w:rsid w:val="00535F68"/>
    <w:rsid w:val="0053642A"/>
    <w:rsid w:val="005378B7"/>
    <w:rsid w:val="00543A5F"/>
    <w:rsid w:val="005445B0"/>
    <w:rsid w:val="00545373"/>
    <w:rsid w:val="00550487"/>
    <w:rsid w:val="005523FB"/>
    <w:rsid w:val="00552A77"/>
    <w:rsid w:val="005552E8"/>
    <w:rsid w:val="0055549A"/>
    <w:rsid w:val="00561403"/>
    <w:rsid w:val="00563764"/>
    <w:rsid w:val="0056395E"/>
    <w:rsid w:val="0056435F"/>
    <w:rsid w:val="0057085C"/>
    <w:rsid w:val="00571082"/>
    <w:rsid w:val="00574C2A"/>
    <w:rsid w:val="005769DE"/>
    <w:rsid w:val="00581EC0"/>
    <w:rsid w:val="00586155"/>
    <w:rsid w:val="00590C93"/>
    <w:rsid w:val="00591A89"/>
    <w:rsid w:val="00595BFA"/>
    <w:rsid w:val="005A0B0F"/>
    <w:rsid w:val="005A267F"/>
    <w:rsid w:val="005A48B8"/>
    <w:rsid w:val="005A67D6"/>
    <w:rsid w:val="005A68B3"/>
    <w:rsid w:val="005B1F9D"/>
    <w:rsid w:val="005B40D7"/>
    <w:rsid w:val="005B56BA"/>
    <w:rsid w:val="005C21BF"/>
    <w:rsid w:val="005C3AC2"/>
    <w:rsid w:val="005C4971"/>
    <w:rsid w:val="005C4C1C"/>
    <w:rsid w:val="005C5517"/>
    <w:rsid w:val="005D184D"/>
    <w:rsid w:val="005D510A"/>
    <w:rsid w:val="005D594B"/>
    <w:rsid w:val="005D6C3A"/>
    <w:rsid w:val="005D7C0E"/>
    <w:rsid w:val="005E06E8"/>
    <w:rsid w:val="005E0B46"/>
    <w:rsid w:val="005E213B"/>
    <w:rsid w:val="005E4820"/>
    <w:rsid w:val="005E5757"/>
    <w:rsid w:val="005F04D5"/>
    <w:rsid w:val="005F50A3"/>
    <w:rsid w:val="005F7C96"/>
    <w:rsid w:val="00601A95"/>
    <w:rsid w:val="0060225D"/>
    <w:rsid w:val="006038DA"/>
    <w:rsid w:val="006068B3"/>
    <w:rsid w:val="006125A0"/>
    <w:rsid w:val="00615211"/>
    <w:rsid w:val="006278A7"/>
    <w:rsid w:val="006316BE"/>
    <w:rsid w:val="00631876"/>
    <w:rsid w:val="00635238"/>
    <w:rsid w:val="0063676F"/>
    <w:rsid w:val="006379E1"/>
    <w:rsid w:val="00645098"/>
    <w:rsid w:val="006455B1"/>
    <w:rsid w:val="0064767A"/>
    <w:rsid w:val="00650D89"/>
    <w:rsid w:val="00653A4C"/>
    <w:rsid w:val="00656A5F"/>
    <w:rsid w:val="006616DF"/>
    <w:rsid w:val="00662014"/>
    <w:rsid w:val="00663074"/>
    <w:rsid w:val="00666B10"/>
    <w:rsid w:val="00666E9D"/>
    <w:rsid w:val="006716FA"/>
    <w:rsid w:val="006731FF"/>
    <w:rsid w:val="00674597"/>
    <w:rsid w:val="00675565"/>
    <w:rsid w:val="00676DDD"/>
    <w:rsid w:val="006871B5"/>
    <w:rsid w:val="00687AB8"/>
    <w:rsid w:val="006A0669"/>
    <w:rsid w:val="006A0B22"/>
    <w:rsid w:val="006A5A7F"/>
    <w:rsid w:val="006A68D6"/>
    <w:rsid w:val="006B1F67"/>
    <w:rsid w:val="006B2051"/>
    <w:rsid w:val="006B25BB"/>
    <w:rsid w:val="006C2A03"/>
    <w:rsid w:val="006C5BA9"/>
    <w:rsid w:val="006C625E"/>
    <w:rsid w:val="006D024A"/>
    <w:rsid w:val="006D49A6"/>
    <w:rsid w:val="006D6968"/>
    <w:rsid w:val="006E1B69"/>
    <w:rsid w:val="006E2D42"/>
    <w:rsid w:val="006E7BB7"/>
    <w:rsid w:val="006F321E"/>
    <w:rsid w:val="006F3909"/>
    <w:rsid w:val="006F583C"/>
    <w:rsid w:val="007055FD"/>
    <w:rsid w:val="007069E7"/>
    <w:rsid w:val="00712073"/>
    <w:rsid w:val="00713ED5"/>
    <w:rsid w:val="00716F73"/>
    <w:rsid w:val="00721047"/>
    <w:rsid w:val="007227C2"/>
    <w:rsid w:val="007243DF"/>
    <w:rsid w:val="00725742"/>
    <w:rsid w:val="00725AA5"/>
    <w:rsid w:val="007272D9"/>
    <w:rsid w:val="007305AF"/>
    <w:rsid w:val="007318AE"/>
    <w:rsid w:val="00731F97"/>
    <w:rsid w:val="00732FD4"/>
    <w:rsid w:val="00733601"/>
    <w:rsid w:val="00735186"/>
    <w:rsid w:val="00737720"/>
    <w:rsid w:val="00737AC9"/>
    <w:rsid w:val="00737B0D"/>
    <w:rsid w:val="007410AD"/>
    <w:rsid w:val="0074117E"/>
    <w:rsid w:val="00741DA4"/>
    <w:rsid w:val="00743B88"/>
    <w:rsid w:val="0074769E"/>
    <w:rsid w:val="00747AC9"/>
    <w:rsid w:val="007535DE"/>
    <w:rsid w:val="00755A0A"/>
    <w:rsid w:val="00761ABC"/>
    <w:rsid w:val="00762FD6"/>
    <w:rsid w:val="00764F27"/>
    <w:rsid w:val="00765CC0"/>
    <w:rsid w:val="007676C8"/>
    <w:rsid w:val="007707AB"/>
    <w:rsid w:val="00771A10"/>
    <w:rsid w:val="00772941"/>
    <w:rsid w:val="00773CE1"/>
    <w:rsid w:val="00774071"/>
    <w:rsid w:val="007756CB"/>
    <w:rsid w:val="00775C6E"/>
    <w:rsid w:val="007774EF"/>
    <w:rsid w:val="00783CAC"/>
    <w:rsid w:val="00786953"/>
    <w:rsid w:val="0079320D"/>
    <w:rsid w:val="00793765"/>
    <w:rsid w:val="0079618E"/>
    <w:rsid w:val="00796AAE"/>
    <w:rsid w:val="007A0268"/>
    <w:rsid w:val="007A0AFF"/>
    <w:rsid w:val="007A0E74"/>
    <w:rsid w:val="007B2A08"/>
    <w:rsid w:val="007B7905"/>
    <w:rsid w:val="007C1633"/>
    <w:rsid w:val="007C18BA"/>
    <w:rsid w:val="007C3B26"/>
    <w:rsid w:val="007C4188"/>
    <w:rsid w:val="007C5BA2"/>
    <w:rsid w:val="007D076F"/>
    <w:rsid w:val="007D1269"/>
    <w:rsid w:val="007D2594"/>
    <w:rsid w:val="007D3FAE"/>
    <w:rsid w:val="007D44F3"/>
    <w:rsid w:val="007D4E38"/>
    <w:rsid w:val="007D5FD9"/>
    <w:rsid w:val="007E2F00"/>
    <w:rsid w:val="007E54BA"/>
    <w:rsid w:val="007F0C16"/>
    <w:rsid w:val="007F0EEF"/>
    <w:rsid w:val="007F3841"/>
    <w:rsid w:val="007F430C"/>
    <w:rsid w:val="007F493C"/>
    <w:rsid w:val="007F5386"/>
    <w:rsid w:val="007F5483"/>
    <w:rsid w:val="007F7EC9"/>
    <w:rsid w:val="0080026D"/>
    <w:rsid w:val="008018A5"/>
    <w:rsid w:val="0080306A"/>
    <w:rsid w:val="008046A2"/>
    <w:rsid w:val="00805427"/>
    <w:rsid w:val="0080767C"/>
    <w:rsid w:val="00814A23"/>
    <w:rsid w:val="00815CDA"/>
    <w:rsid w:val="008177ED"/>
    <w:rsid w:val="008207F0"/>
    <w:rsid w:val="008231E8"/>
    <w:rsid w:val="00823566"/>
    <w:rsid w:val="00825759"/>
    <w:rsid w:val="0083391F"/>
    <w:rsid w:val="00834891"/>
    <w:rsid w:val="008349FF"/>
    <w:rsid w:val="00837162"/>
    <w:rsid w:val="00841D2F"/>
    <w:rsid w:val="00844977"/>
    <w:rsid w:val="00845C70"/>
    <w:rsid w:val="00845FCD"/>
    <w:rsid w:val="0084678D"/>
    <w:rsid w:val="00847E4D"/>
    <w:rsid w:val="00850053"/>
    <w:rsid w:val="008502BF"/>
    <w:rsid w:val="00850DBD"/>
    <w:rsid w:val="00851251"/>
    <w:rsid w:val="008513AF"/>
    <w:rsid w:val="00851A30"/>
    <w:rsid w:val="00855F59"/>
    <w:rsid w:val="0086234F"/>
    <w:rsid w:val="00864CB7"/>
    <w:rsid w:val="00870948"/>
    <w:rsid w:val="00872407"/>
    <w:rsid w:val="00873E1B"/>
    <w:rsid w:val="0087436B"/>
    <w:rsid w:val="008768DC"/>
    <w:rsid w:val="00882432"/>
    <w:rsid w:val="008828B1"/>
    <w:rsid w:val="0088299E"/>
    <w:rsid w:val="00882BC4"/>
    <w:rsid w:val="00885A5F"/>
    <w:rsid w:val="00886BFA"/>
    <w:rsid w:val="00891BC6"/>
    <w:rsid w:val="008925ED"/>
    <w:rsid w:val="00893DDF"/>
    <w:rsid w:val="00896939"/>
    <w:rsid w:val="008A05D0"/>
    <w:rsid w:val="008A090D"/>
    <w:rsid w:val="008A4845"/>
    <w:rsid w:val="008B18B6"/>
    <w:rsid w:val="008B4DFB"/>
    <w:rsid w:val="008B5897"/>
    <w:rsid w:val="008B672E"/>
    <w:rsid w:val="008B7238"/>
    <w:rsid w:val="008C1324"/>
    <w:rsid w:val="008C371E"/>
    <w:rsid w:val="008C37E2"/>
    <w:rsid w:val="008C3BD5"/>
    <w:rsid w:val="008C4905"/>
    <w:rsid w:val="008C58DC"/>
    <w:rsid w:val="008C6F38"/>
    <w:rsid w:val="008D2215"/>
    <w:rsid w:val="008D3E62"/>
    <w:rsid w:val="008D46F0"/>
    <w:rsid w:val="008D5A20"/>
    <w:rsid w:val="008D7A4B"/>
    <w:rsid w:val="008D7B87"/>
    <w:rsid w:val="008F0A04"/>
    <w:rsid w:val="008F3149"/>
    <w:rsid w:val="00901F14"/>
    <w:rsid w:val="00906090"/>
    <w:rsid w:val="00906E75"/>
    <w:rsid w:val="009116B8"/>
    <w:rsid w:val="00914A70"/>
    <w:rsid w:val="0092117A"/>
    <w:rsid w:val="009211B4"/>
    <w:rsid w:val="00924306"/>
    <w:rsid w:val="00924B42"/>
    <w:rsid w:val="009253D7"/>
    <w:rsid w:val="00925BCC"/>
    <w:rsid w:val="009308AE"/>
    <w:rsid w:val="00933957"/>
    <w:rsid w:val="00935DE0"/>
    <w:rsid w:val="00936001"/>
    <w:rsid w:val="00936CEA"/>
    <w:rsid w:val="00943DFD"/>
    <w:rsid w:val="00943F67"/>
    <w:rsid w:val="00944ABB"/>
    <w:rsid w:val="0094542B"/>
    <w:rsid w:val="00946629"/>
    <w:rsid w:val="00947ACD"/>
    <w:rsid w:val="009525B6"/>
    <w:rsid w:val="00953FC2"/>
    <w:rsid w:val="00957B70"/>
    <w:rsid w:val="009626EB"/>
    <w:rsid w:val="009642DA"/>
    <w:rsid w:val="00964873"/>
    <w:rsid w:val="009648BE"/>
    <w:rsid w:val="00971A47"/>
    <w:rsid w:val="009741AE"/>
    <w:rsid w:val="00974D7B"/>
    <w:rsid w:val="00981AD0"/>
    <w:rsid w:val="00982662"/>
    <w:rsid w:val="00984636"/>
    <w:rsid w:val="00985183"/>
    <w:rsid w:val="009874C9"/>
    <w:rsid w:val="00990D53"/>
    <w:rsid w:val="00990E3F"/>
    <w:rsid w:val="00991E76"/>
    <w:rsid w:val="009921F9"/>
    <w:rsid w:val="0099546B"/>
    <w:rsid w:val="00995AC3"/>
    <w:rsid w:val="00995DDF"/>
    <w:rsid w:val="00997670"/>
    <w:rsid w:val="00997863"/>
    <w:rsid w:val="009978D9"/>
    <w:rsid w:val="009A1B96"/>
    <w:rsid w:val="009A1F35"/>
    <w:rsid w:val="009A2133"/>
    <w:rsid w:val="009A4A46"/>
    <w:rsid w:val="009A78CB"/>
    <w:rsid w:val="009B2AE5"/>
    <w:rsid w:val="009B4653"/>
    <w:rsid w:val="009B49B7"/>
    <w:rsid w:val="009B5C97"/>
    <w:rsid w:val="009B7CC4"/>
    <w:rsid w:val="009C0287"/>
    <w:rsid w:val="009C7D4B"/>
    <w:rsid w:val="009D1C3C"/>
    <w:rsid w:val="009D1D40"/>
    <w:rsid w:val="009D4E83"/>
    <w:rsid w:val="009D6366"/>
    <w:rsid w:val="009D6E6E"/>
    <w:rsid w:val="009D77B7"/>
    <w:rsid w:val="009E05B3"/>
    <w:rsid w:val="009F0CBF"/>
    <w:rsid w:val="009F440E"/>
    <w:rsid w:val="009F7F82"/>
    <w:rsid w:val="00A0030F"/>
    <w:rsid w:val="00A019C4"/>
    <w:rsid w:val="00A057E2"/>
    <w:rsid w:val="00A070BF"/>
    <w:rsid w:val="00A07378"/>
    <w:rsid w:val="00A1729E"/>
    <w:rsid w:val="00A17B5A"/>
    <w:rsid w:val="00A237FB"/>
    <w:rsid w:val="00A23CB6"/>
    <w:rsid w:val="00A2434D"/>
    <w:rsid w:val="00A26C4B"/>
    <w:rsid w:val="00A27ACA"/>
    <w:rsid w:val="00A30F27"/>
    <w:rsid w:val="00A31FFE"/>
    <w:rsid w:val="00A3311B"/>
    <w:rsid w:val="00A37BE8"/>
    <w:rsid w:val="00A40400"/>
    <w:rsid w:val="00A41AE4"/>
    <w:rsid w:val="00A41B29"/>
    <w:rsid w:val="00A42220"/>
    <w:rsid w:val="00A4298E"/>
    <w:rsid w:val="00A42B05"/>
    <w:rsid w:val="00A42C70"/>
    <w:rsid w:val="00A4335D"/>
    <w:rsid w:val="00A44B91"/>
    <w:rsid w:val="00A46C60"/>
    <w:rsid w:val="00A470A2"/>
    <w:rsid w:val="00A523B2"/>
    <w:rsid w:val="00A525A3"/>
    <w:rsid w:val="00A52FB6"/>
    <w:rsid w:val="00A53C6E"/>
    <w:rsid w:val="00A577BE"/>
    <w:rsid w:val="00A57B31"/>
    <w:rsid w:val="00A63B09"/>
    <w:rsid w:val="00A67FFE"/>
    <w:rsid w:val="00A75DD8"/>
    <w:rsid w:val="00A83C08"/>
    <w:rsid w:val="00A845B4"/>
    <w:rsid w:val="00A862CF"/>
    <w:rsid w:val="00A86520"/>
    <w:rsid w:val="00A87833"/>
    <w:rsid w:val="00A90875"/>
    <w:rsid w:val="00A91AF9"/>
    <w:rsid w:val="00A944D6"/>
    <w:rsid w:val="00A949F2"/>
    <w:rsid w:val="00AA29C1"/>
    <w:rsid w:val="00AA3997"/>
    <w:rsid w:val="00AA422D"/>
    <w:rsid w:val="00AA4F33"/>
    <w:rsid w:val="00AA6543"/>
    <w:rsid w:val="00AB045A"/>
    <w:rsid w:val="00AB18D5"/>
    <w:rsid w:val="00AB4361"/>
    <w:rsid w:val="00AB4D43"/>
    <w:rsid w:val="00AB5436"/>
    <w:rsid w:val="00AC238B"/>
    <w:rsid w:val="00AC2733"/>
    <w:rsid w:val="00AC45F5"/>
    <w:rsid w:val="00AC5224"/>
    <w:rsid w:val="00AC6068"/>
    <w:rsid w:val="00AC6E35"/>
    <w:rsid w:val="00AC7243"/>
    <w:rsid w:val="00AC7EF2"/>
    <w:rsid w:val="00AD0382"/>
    <w:rsid w:val="00AD1EBD"/>
    <w:rsid w:val="00AD32D7"/>
    <w:rsid w:val="00AD3CAD"/>
    <w:rsid w:val="00AD3EBB"/>
    <w:rsid w:val="00AD66C5"/>
    <w:rsid w:val="00AE076B"/>
    <w:rsid w:val="00AE112E"/>
    <w:rsid w:val="00AE2BB2"/>
    <w:rsid w:val="00AE30C0"/>
    <w:rsid w:val="00AE412D"/>
    <w:rsid w:val="00AE50B9"/>
    <w:rsid w:val="00AE6B04"/>
    <w:rsid w:val="00AF00AD"/>
    <w:rsid w:val="00AF2D77"/>
    <w:rsid w:val="00AF3579"/>
    <w:rsid w:val="00B0068D"/>
    <w:rsid w:val="00B018F8"/>
    <w:rsid w:val="00B03A48"/>
    <w:rsid w:val="00B058F1"/>
    <w:rsid w:val="00B06C4F"/>
    <w:rsid w:val="00B07908"/>
    <w:rsid w:val="00B10E15"/>
    <w:rsid w:val="00B11C15"/>
    <w:rsid w:val="00B12A18"/>
    <w:rsid w:val="00B12CB9"/>
    <w:rsid w:val="00B144BF"/>
    <w:rsid w:val="00B20BB3"/>
    <w:rsid w:val="00B212C7"/>
    <w:rsid w:val="00B2141D"/>
    <w:rsid w:val="00B2143B"/>
    <w:rsid w:val="00B21637"/>
    <w:rsid w:val="00B23FE4"/>
    <w:rsid w:val="00B2664E"/>
    <w:rsid w:val="00B33C77"/>
    <w:rsid w:val="00B33CDC"/>
    <w:rsid w:val="00B3477A"/>
    <w:rsid w:val="00B34A58"/>
    <w:rsid w:val="00B3789E"/>
    <w:rsid w:val="00B4019F"/>
    <w:rsid w:val="00B460E3"/>
    <w:rsid w:val="00B47816"/>
    <w:rsid w:val="00B5023E"/>
    <w:rsid w:val="00B51617"/>
    <w:rsid w:val="00B533A0"/>
    <w:rsid w:val="00B54C63"/>
    <w:rsid w:val="00B56871"/>
    <w:rsid w:val="00B6136B"/>
    <w:rsid w:val="00B64F55"/>
    <w:rsid w:val="00B66EAF"/>
    <w:rsid w:val="00B70813"/>
    <w:rsid w:val="00B709E2"/>
    <w:rsid w:val="00B71662"/>
    <w:rsid w:val="00B75428"/>
    <w:rsid w:val="00B769C2"/>
    <w:rsid w:val="00B77B27"/>
    <w:rsid w:val="00B81A1B"/>
    <w:rsid w:val="00B81EED"/>
    <w:rsid w:val="00B8293E"/>
    <w:rsid w:val="00B84B34"/>
    <w:rsid w:val="00B863EC"/>
    <w:rsid w:val="00B9199D"/>
    <w:rsid w:val="00B924B6"/>
    <w:rsid w:val="00B93676"/>
    <w:rsid w:val="00BA0B82"/>
    <w:rsid w:val="00BA1C34"/>
    <w:rsid w:val="00BA3D12"/>
    <w:rsid w:val="00BA4AFB"/>
    <w:rsid w:val="00BA7DA5"/>
    <w:rsid w:val="00BB210C"/>
    <w:rsid w:val="00BB26CB"/>
    <w:rsid w:val="00BB31F8"/>
    <w:rsid w:val="00BB3801"/>
    <w:rsid w:val="00BB58E5"/>
    <w:rsid w:val="00BB7635"/>
    <w:rsid w:val="00BC4A96"/>
    <w:rsid w:val="00BC4BBA"/>
    <w:rsid w:val="00BC558E"/>
    <w:rsid w:val="00BC7221"/>
    <w:rsid w:val="00BD089C"/>
    <w:rsid w:val="00BD0B89"/>
    <w:rsid w:val="00BD32F8"/>
    <w:rsid w:val="00BD3932"/>
    <w:rsid w:val="00BD4173"/>
    <w:rsid w:val="00BE2744"/>
    <w:rsid w:val="00BE6C06"/>
    <w:rsid w:val="00BE753D"/>
    <w:rsid w:val="00BF152A"/>
    <w:rsid w:val="00BF3981"/>
    <w:rsid w:val="00C0095A"/>
    <w:rsid w:val="00C009F9"/>
    <w:rsid w:val="00C05647"/>
    <w:rsid w:val="00C108BD"/>
    <w:rsid w:val="00C10AB2"/>
    <w:rsid w:val="00C118DD"/>
    <w:rsid w:val="00C1211F"/>
    <w:rsid w:val="00C13E43"/>
    <w:rsid w:val="00C149AC"/>
    <w:rsid w:val="00C232E2"/>
    <w:rsid w:val="00C24A61"/>
    <w:rsid w:val="00C26C33"/>
    <w:rsid w:val="00C27934"/>
    <w:rsid w:val="00C30472"/>
    <w:rsid w:val="00C3181D"/>
    <w:rsid w:val="00C323A7"/>
    <w:rsid w:val="00C355AE"/>
    <w:rsid w:val="00C35BD0"/>
    <w:rsid w:val="00C35D73"/>
    <w:rsid w:val="00C3772B"/>
    <w:rsid w:val="00C40DAD"/>
    <w:rsid w:val="00C4184D"/>
    <w:rsid w:val="00C43958"/>
    <w:rsid w:val="00C44632"/>
    <w:rsid w:val="00C46274"/>
    <w:rsid w:val="00C53492"/>
    <w:rsid w:val="00C544C6"/>
    <w:rsid w:val="00C54C69"/>
    <w:rsid w:val="00C56A6D"/>
    <w:rsid w:val="00C573A4"/>
    <w:rsid w:val="00C578FB"/>
    <w:rsid w:val="00C60CF6"/>
    <w:rsid w:val="00C62540"/>
    <w:rsid w:val="00C626D6"/>
    <w:rsid w:val="00C63C79"/>
    <w:rsid w:val="00C652CD"/>
    <w:rsid w:val="00C659B6"/>
    <w:rsid w:val="00C66D49"/>
    <w:rsid w:val="00C67940"/>
    <w:rsid w:val="00C73604"/>
    <w:rsid w:val="00C74700"/>
    <w:rsid w:val="00C75CD2"/>
    <w:rsid w:val="00C7664D"/>
    <w:rsid w:val="00C81CFD"/>
    <w:rsid w:val="00C82E68"/>
    <w:rsid w:val="00C832BF"/>
    <w:rsid w:val="00C862A3"/>
    <w:rsid w:val="00C900B2"/>
    <w:rsid w:val="00C93341"/>
    <w:rsid w:val="00C96E50"/>
    <w:rsid w:val="00CA0971"/>
    <w:rsid w:val="00CA2DC2"/>
    <w:rsid w:val="00CA3E75"/>
    <w:rsid w:val="00CA5282"/>
    <w:rsid w:val="00CA7D2E"/>
    <w:rsid w:val="00CB1AAB"/>
    <w:rsid w:val="00CB4F45"/>
    <w:rsid w:val="00CB6A71"/>
    <w:rsid w:val="00CC0A78"/>
    <w:rsid w:val="00CC1E37"/>
    <w:rsid w:val="00CC1F1F"/>
    <w:rsid w:val="00CC2796"/>
    <w:rsid w:val="00CC4054"/>
    <w:rsid w:val="00CC77F8"/>
    <w:rsid w:val="00CD1391"/>
    <w:rsid w:val="00CD15AC"/>
    <w:rsid w:val="00CD2116"/>
    <w:rsid w:val="00CD2278"/>
    <w:rsid w:val="00CD22FA"/>
    <w:rsid w:val="00CD26A0"/>
    <w:rsid w:val="00CD468F"/>
    <w:rsid w:val="00CD5CFB"/>
    <w:rsid w:val="00CE46D8"/>
    <w:rsid w:val="00CE571A"/>
    <w:rsid w:val="00CF0E98"/>
    <w:rsid w:val="00CF2A17"/>
    <w:rsid w:val="00CF4542"/>
    <w:rsid w:val="00CF6C7E"/>
    <w:rsid w:val="00CF7E60"/>
    <w:rsid w:val="00D042FA"/>
    <w:rsid w:val="00D0456B"/>
    <w:rsid w:val="00D05EB5"/>
    <w:rsid w:val="00D07095"/>
    <w:rsid w:val="00D139A0"/>
    <w:rsid w:val="00D1632C"/>
    <w:rsid w:val="00D241EF"/>
    <w:rsid w:val="00D4010D"/>
    <w:rsid w:val="00D40347"/>
    <w:rsid w:val="00D41E13"/>
    <w:rsid w:val="00D41ED8"/>
    <w:rsid w:val="00D42D67"/>
    <w:rsid w:val="00D44F40"/>
    <w:rsid w:val="00D45496"/>
    <w:rsid w:val="00D46424"/>
    <w:rsid w:val="00D503DB"/>
    <w:rsid w:val="00D540FD"/>
    <w:rsid w:val="00D55A88"/>
    <w:rsid w:val="00D57359"/>
    <w:rsid w:val="00D6167C"/>
    <w:rsid w:val="00D616F9"/>
    <w:rsid w:val="00D63FDD"/>
    <w:rsid w:val="00D640FB"/>
    <w:rsid w:val="00D67F13"/>
    <w:rsid w:val="00D723D0"/>
    <w:rsid w:val="00D74C9C"/>
    <w:rsid w:val="00D74CF4"/>
    <w:rsid w:val="00D76C33"/>
    <w:rsid w:val="00D77C05"/>
    <w:rsid w:val="00D8039F"/>
    <w:rsid w:val="00D8070F"/>
    <w:rsid w:val="00D817AD"/>
    <w:rsid w:val="00D8307B"/>
    <w:rsid w:val="00D909C5"/>
    <w:rsid w:val="00D94267"/>
    <w:rsid w:val="00D9503C"/>
    <w:rsid w:val="00D95DD8"/>
    <w:rsid w:val="00D974B2"/>
    <w:rsid w:val="00DA1F57"/>
    <w:rsid w:val="00DA29A0"/>
    <w:rsid w:val="00DA2DBF"/>
    <w:rsid w:val="00DA39D0"/>
    <w:rsid w:val="00DA62BF"/>
    <w:rsid w:val="00DA7E47"/>
    <w:rsid w:val="00DB196E"/>
    <w:rsid w:val="00DB2DFE"/>
    <w:rsid w:val="00DB361A"/>
    <w:rsid w:val="00DB3C4F"/>
    <w:rsid w:val="00DB445F"/>
    <w:rsid w:val="00DB5BAA"/>
    <w:rsid w:val="00DB639A"/>
    <w:rsid w:val="00DB702A"/>
    <w:rsid w:val="00DC1BB2"/>
    <w:rsid w:val="00DC212F"/>
    <w:rsid w:val="00DC39F6"/>
    <w:rsid w:val="00DC3BBC"/>
    <w:rsid w:val="00DC6367"/>
    <w:rsid w:val="00DD1F9B"/>
    <w:rsid w:val="00DD2C35"/>
    <w:rsid w:val="00DD40B4"/>
    <w:rsid w:val="00DD4473"/>
    <w:rsid w:val="00DD5A26"/>
    <w:rsid w:val="00DE10DD"/>
    <w:rsid w:val="00DE1D16"/>
    <w:rsid w:val="00DE2AA7"/>
    <w:rsid w:val="00DE30F6"/>
    <w:rsid w:val="00DF245F"/>
    <w:rsid w:val="00DF3A12"/>
    <w:rsid w:val="00DF3DAE"/>
    <w:rsid w:val="00DF4C3D"/>
    <w:rsid w:val="00DF52F5"/>
    <w:rsid w:val="00DF5A4A"/>
    <w:rsid w:val="00DF7A31"/>
    <w:rsid w:val="00E00BD6"/>
    <w:rsid w:val="00E01445"/>
    <w:rsid w:val="00E01B6E"/>
    <w:rsid w:val="00E0669F"/>
    <w:rsid w:val="00E070C2"/>
    <w:rsid w:val="00E11262"/>
    <w:rsid w:val="00E11B2C"/>
    <w:rsid w:val="00E12144"/>
    <w:rsid w:val="00E1455D"/>
    <w:rsid w:val="00E15565"/>
    <w:rsid w:val="00E17676"/>
    <w:rsid w:val="00E176E3"/>
    <w:rsid w:val="00E17948"/>
    <w:rsid w:val="00E17D5F"/>
    <w:rsid w:val="00E20B3F"/>
    <w:rsid w:val="00E21AEB"/>
    <w:rsid w:val="00E2209A"/>
    <w:rsid w:val="00E252D7"/>
    <w:rsid w:val="00E27D28"/>
    <w:rsid w:val="00E33588"/>
    <w:rsid w:val="00E3372C"/>
    <w:rsid w:val="00E34AD4"/>
    <w:rsid w:val="00E376CA"/>
    <w:rsid w:val="00E37C10"/>
    <w:rsid w:val="00E402E6"/>
    <w:rsid w:val="00E42DDB"/>
    <w:rsid w:val="00E465D8"/>
    <w:rsid w:val="00E47D3F"/>
    <w:rsid w:val="00E47E1C"/>
    <w:rsid w:val="00E53CF6"/>
    <w:rsid w:val="00E55467"/>
    <w:rsid w:val="00E55F0A"/>
    <w:rsid w:val="00E56C7E"/>
    <w:rsid w:val="00E60624"/>
    <w:rsid w:val="00E60CF2"/>
    <w:rsid w:val="00E62594"/>
    <w:rsid w:val="00E75C31"/>
    <w:rsid w:val="00E778C1"/>
    <w:rsid w:val="00E82664"/>
    <w:rsid w:val="00E8287F"/>
    <w:rsid w:val="00E84601"/>
    <w:rsid w:val="00E87DC2"/>
    <w:rsid w:val="00E91CDC"/>
    <w:rsid w:val="00E94203"/>
    <w:rsid w:val="00E94760"/>
    <w:rsid w:val="00E96DA7"/>
    <w:rsid w:val="00EA0B52"/>
    <w:rsid w:val="00EB1FD8"/>
    <w:rsid w:val="00EB294C"/>
    <w:rsid w:val="00EB2976"/>
    <w:rsid w:val="00EB337F"/>
    <w:rsid w:val="00EB4109"/>
    <w:rsid w:val="00EB4BED"/>
    <w:rsid w:val="00EB6B9B"/>
    <w:rsid w:val="00EC0518"/>
    <w:rsid w:val="00EC2D95"/>
    <w:rsid w:val="00EC3640"/>
    <w:rsid w:val="00EC5591"/>
    <w:rsid w:val="00EC55A9"/>
    <w:rsid w:val="00ED0A79"/>
    <w:rsid w:val="00ED1919"/>
    <w:rsid w:val="00ED1FB4"/>
    <w:rsid w:val="00ED3FB8"/>
    <w:rsid w:val="00ED4871"/>
    <w:rsid w:val="00ED65D8"/>
    <w:rsid w:val="00EE34C5"/>
    <w:rsid w:val="00EE4D75"/>
    <w:rsid w:val="00EE6DF4"/>
    <w:rsid w:val="00EE7E75"/>
    <w:rsid w:val="00EF06A2"/>
    <w:rsid w:val="00EF3179"/>
    <w:rsid w:val="00EF6491"/>
    <w:rsid w:val="00F03BDA"/>
    <w:rsid w:val="00F10A01"/>
    <w:rsid w:val="00F1288F"/>
    <w:rsid w:val="00F16930"/>
    <w:rsid w:val="00F175C6"/>
    <w:rsid w:val="00F2076F"/>
    <w:rsid w:val="00F23024"/>
    <w:rsid w:val="00F2359B"/>
    <w:rsid w:val="00F25356"/>
    <w:rsid w:val="00F27703"/>
    <w:rsid w:val="00F323BA"/>
    <w:rsid w:val="00F32F7D"/>
    <w:rsid w:val="00F33BD9"/>
    <w:rsid w:val="00F410EE"/>
    <w:rsid w:val="00F42096"/>
    <w:rsid w:val="00F44443"/>
    <w:rsid w:val="00F44448"/>
    <w:rsid w:val="00F460D1"/>
    <w:rsid w:val="00F467A0"/>
    <w:rsid w:val="00F46B6C"/>
    <w:rsid w:val="00F47756"/>
    <w:rsid w:val="00F479B7"/>
    <w:rsid w:val="00F47B88"/>
    <w:rsid w:val="00F50FFF"/>
    <w:rsid w:val="00F53CE9"/>
    <w:rsid w:val="00F55594"/>
    <w:rsid w:val="00F6337F"/>
    <w:rsid w:val="00F80AF6"/>
    <w:rsid w:val="00F830BF"/>
    <w:rsid w:val="00F83DA9"/>
    <w:rsid w:val="00F87DAE"/>
    <w:rsid w:val="00F914A1"/>
    <w:rsid w:val="00F95AFB"/>
    <w:rsid w:val="00F95D65"/>
    <w:rsid w:val="00FA02B5"/>
    <w:rsid w:val="00FA1EDA"/>
    <w:rsid w:val="00FA4347"/>
    <w:rsid w:val="00FA76BF"/>
    <w:rsid w:val="00FB000A"/>
    <w:rsid w:val="00FB66BA"/>
    <w:rsid w:val="00FB735A"/>
    <w:rsid w:val="00FD3E5F"/>
    <w:rsid w:val="00FD52B4"/>
    <w:rsid w:val="00FD55B4"/>
    <w:rsid w:val="00FD5D98"/>
    <w:rsid w:val="00FD72AF"/>
    <w:rsid w:val="00FE0059"/>
    <w:rsid w:val="00FE7B32"/>
    <w:rsid w:val="00FF0142"/>
    <w:rsid w:val="00FF1B5A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EE52570"/>
  <w15:docId w15:val="{17D76698-C806-4F4D-84EE-9F396995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4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716D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4F716D"/>
    <w:rPr>
      <w:rFonts w:ascii="Verdana" w:eastAsia="Times New Roman" w:hAnsi="Verdana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16D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716D"/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Nagwek1kwartalne">
    <w:name w:val="Nagłówek_1_kwartalne"/>
    <w:basedOn w:val="Nagwek1"/>
    <w:rsid w:val="004F716D"/>
    <w:pPr>
      <w:keepLines w:val="0"/>
      <w:spacing w:before="0" w:line="300" w:lineRule="exact"/>
      <w:jc w:val="both"/>
    </w:pPr>
    <w:rPr>
      <w:rFonts w:ascii="Verdana" w:eastAsia="Times New Roman" w:hAnsi="Verdana" w:cs="Times New Roman"/>
      <w:bCs w:val="0"/>
      <w:color w:val="auto"/>
      <w:sz w:val="1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7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6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0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0D7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3C4F"/>
    <w:pPr>
      <w:spacing w:after="12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3C4F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556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46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image" Target="media/image6.jpeg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5.wdp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image" Target="media/image10.emf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microsoft.com/office/2007/relationships/hdphoto" Target="media/hdphoto6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E39B-8D76-453B-A5FF-4B12C669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BUDIMEX S.A.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Kozioł</dc:creator>
  <cp:lastModifiedBy>Deniszczuk, Jarosław</cp:lastModifiedBy>
  <cp:revision>29</cp:revision>
  <cp:lastPrinted>2019-07-26T12:44:00Z</cp:lastPrinted>
  <dcterms:created xsi:type="dcterms:W3CDTF">2019-07-10T06:57:00Z</dcterms:created>
  <dcterms:modified xsi:type="dcterms:W3CDTF">2019-07-26T12:58:00Z</dcterms:modified>
</cp:coreProperties>
</file>