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4B10" w14:textId="77777777" w:rsidR="000158C8" w:rsidRPr="0005415E" w:rsidRDefault="000158C8" w:rsidP="00AE5E40">
      <w:pPr>
        <w:spacing w:line="240" w:lineRule="auto"/>
        <w:ind w:left="-270" w:right="-270"/>
        <w:rPr>
          <w:rFonts w:asciiTheme="majorHAnsi" w:hAnsiTheme="majorHAnsi" w:cstheme="majorHAnsi"/>
          <w:sz w:val="24"/>
          <w:szCs w:val="24"/>
          <w:lang w:val="lv-LV"/>
        </w:rPr>
      </w:pPr>
    </w:p>
    <w:p w14:paraId="0CD043D3" w14:textId="5CCA0A16" w:rsidR="00443DE8" w:rsidRPr="0005415E" w:rsidRDefault="00443DE8" w:rsidP="00EA4B9A">
      <w:pPr>
        <w:spacing w:line="240" w:lineRule="auto"/>
        <w:ind w:left="-270" w:right="-270"/>
        <w:rPr>
          <w:rFonts w:asciiTheme="majorHAnsi" w:hAnsiTheme="majorHAnsi" w:cstheme="majorHAnsi"/>
          <w:sz w:val="24"/>
          <w:szCs w:val="24"/>
          <w:lang w:val="lv-LV"/>
        </w:rPr>
      </w:pPr>
      <w:bookmarkStart w:id="0" w:name="_Hlk90281978"/>
      <w:r w:rsidRPr="00443DE8">
        <w:rPr>
          <w:rFonts w:ascii="Calibri Light" w:eastAsia="Calibri Light" w:hAnsi="Calibri Light" w:cs="Calibri Light"/>
          <w:sz w:val="24"/>
          <w:szCs w:val="24"/>
          <w:lang w:val="pl-PL"/>
        </w:rPr>
        <w:t>Informacja prasowa</w:t>
      </w:r>
      <w:r>
        <w:rPr>
          <w:rFonts w:ascii="Calibri Light" w:eastAsia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                                22.05.2024</w:t>
      </w:r>
    </w:p>
    <w:p w14:paraId="3B781631" w14:textId="77777777" w:rsidR="00443DE8" w:rsidRDefault="00443DE8" w:rsidP="00AE5E40">
      <w:pPr>
        <w:spacing w:line="240" w:lineRule="auto"/>
        <w:ind w:left="-284" w:right="18"/>
        <w:jc w:val="both"/>
        <w:rPr>
          <w:rFonts w:ascii="Calibri Light" w:eastAsia="Calibri Light" w:hAnsi="Calibri Light" w:cs="Calibri Light"/>
          <w:b/>
          <w:bCs/>
          <w:sz w:val="28"/>
          <w:szCs w:val="28"/>
          <w:lang w:val="lv-LV"/>
        </w:rPr>
      </w:pPr>
    </w:p>
    <w:p w14:paraId="385CEA09" w14:textId="086F9371" w:rsidR="00C03F00" w:rsidRPr="00642296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204864">
        <w:rPr>
          <w:rFonts w:ascii="Calibri Light" w:eastAsia="Calibri Light" w:hAnsi="Calibri Light" w:cs="Calibri Light"/>
          <w:b/>
          <w:bCs/>
          <w:sz w:val="28"/>
          <w:szCs w:val="28"/>
          <w:lang w:val="lv-LV"/>
        </w:rPr>
        <w:t>Łotwa rozpoczy</w:t>
      </w:r>
      <w:r w:rsidR="00443DE8">
        <w:rPr>
          <w:rFonts w:ascii="Calibri Light" w:eastAsia="Calibri Light" w:hAnsi="Calibri Light" w:cs="Calibri Light"/>
          <w:b/>
          <w:bCs/>
          <w:sz w:val="28"/>
          <w:szCs w:val="28"/>
          <w:lang w:val="lv-LV"/>
        </w:rPr>
        <w:t>n</w:t>
      </w:r>
      <w:r w:rsidRPr="00204864">
        <w:rPr>
          <w:rFonts w:ascii="Calibri Light" w:eastAsia="Calibri Light" w:hAnsi="Calibri Light" w:cs="Calibri Light"/>
          <w:b/>
          <w:bCs/>
          <w:sz w:val="28"/>
          <w:szCs w:val="28"/>
          <w:lang w:val="lv-LV"/>
        </w:rPr>
        <w:t>a budowę linii kolejowej Rail Baltica</w:t>
      </w:r>
    </w:p>
    <w:p w14:paraId="5F8B39D4" w14:textId="08F81BDD" w:rsidR="00C03F00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Łotwa realizuje kolejny kamień milowy projektu </w:t>
      </w:r>
      <w:proofErr w:type="spellStart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Rail</w:t>
      </w:r>
      <w:proofErr w:type="spellEnd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Baltica</w:t>
      </w:r>
      <w:proofErr w:type="spellEnd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i rozpoczyna budowę linii kolejowej</w:t>
      </w:r>
      <w:r w:rsidR="00204864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.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21 maja zespół </w:t>
      </w:r>
      <w:proofErr w:type="spellStart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Rail</w:t>
      </w:r>
      <w:proofErr w:type="spellEnd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Baltica</w:t>
      </w:r>
      <w:proofErr w:type="spellEnd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val="pl-PL"/>
        </w:rPr>
        <w:t>, przedstawiciele Komisji Europejskiej oraz partnerzy międzynarodowi z Francji, Włoch, Polski, Litwy i Estonii spotkali się w Rydze, aby z tej okazji symbolicznie wypełnić kapsułę czasu wiadomościami dla przyszłych pokoleń. Kapsuła zostanie wmurowana na placu budowy.</w:t>
      </w:r>
    </w:p>
    <w:p w14:paraId="7B365CB1" w14:textId="5713226C" w:rsidR="00C03F00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Budowa ok. 220 km linii kolejowej, 175 obiektów inżynieryjnych oraz 11 przejść dla zwierząt zostanie 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>z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realizowana przez konsorcjum ERB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JV, łączące doświadczenie trzech wiodących europejskich firm inżynieryjnych i budowlanych w zakresie robót drogowych</w:t>
      </w:r>
      <w:r w:rsidR="0006434D"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, 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kolejowych, konstrukcji stalowych </w:t>
      </w:r>
      <w:r w:rsidR="0006434D">
        <w:rPr>
          <w:rFonts w:ascii="Calibri Light" w:eastAsia="Calibri Light" w:hAnsi="Calibri Light" w:cs="Times New Roman"/>
          <w:sz w:val="24"/>
          <w:szCs w:val="24"/>
          <w:lang w:val="pl-PL"/>
        </w:rPr>
        <w:t>oraz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żelbetowych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>.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>W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skład 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>konsorcjum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wchodzą Eiffage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Génie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Civil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SAS (Francja), Budimex S.A. (Polska) i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Rizzani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de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Eccher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S.p.A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(Włochy).</w:t>
      </w:r>
    </w:p>
    <w:p w14:paraId="6F8EFAF8" w14:textId="77777777" w:rsidR="00F84745" w:rsidRPr="00443DE8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b/>
          <w:bCs/>
          <w:sz w:val="24"/>
          <w:szCs w:val="24"/>
          <w:lang w:val="pl-PL"/>
        </w:rPr>
      </w:pPr>
      <w:r w:rsidRPr="00443DE8">
        <w:rPr>
          <w:rFonts w:ascii="Calibri Light" w:eastAsia="Calibri Light" w:hAnsi="Calibri Light" w:cs="Times New Roman"/>
          <w:b/>
          <w:bCs/>
          <w:sz w:val="24"/>
          <w:szCs w:val="24"/>
          <w:lang w:val="pl-PL"/>
        </w:rPr>
        <w:t>Cytaty</w:t>
      </w:r>
    </w:p>
    <w:p w14:paraId="5B3EE1EC" w14:textId="77777777" w:rsidR="00F84745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Minister Transportu Łotwy</w:t>
      </w:r>
    </w:p>
    <w:p w14:paraId="166DEEE2" w14:textId="2B3E0361" w:rsidR="00F84745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Minister reprezentujący Francję</w:t>
      </w:r>
    </w:p>
    <w:p w14:paraId="127206E8" w14:textId="77777777" w:rsidR="00F84745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 xml:space="preserve">Catherine </w:t>
      </w:r>
      <w:proofErr w:type="spellStart"/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Trautmann</w:t>
      </w:r>
      <w:proofErr w:type="spellEnd"/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 xml:space="preserve">, Europejski Koordynator Korytarza TEN-T Morze Północne-Bałtyk </w:t>
      </w:r>
    </w:p>
    <w:p w14:paraId="3B7FAB9A" w14:textId="77777777" w:rsidR="00F84745" w:rsidRPr="00204864" w:rsidRDefault="000264BD" w:rsidP="00AE5E40">
      <w:pPr>
        <w:spacing w:line="240" w:lineRule="auto"/>
        <w:ind w:left="-284" w:right="18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EDZL</w:t>
      </w:r>
    </w:p>
    <w:p w14:paraId="2BE70B10" w14:textId="77777777" w:rsidR="00F84745" w:rsidRPr="00204864" w:rsidRDefault="000264BD" w:rsidP="00AE5E40">
      <w:pPr>
        <w:spacing w:line="240" w:lineRule="auto"/>
        <w:ind w:left="-284" w:right="18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 xml:space="preserve">ERB </w:t>
      </w:r>
      <w:proofErr w:type="spellStart"/>
      <w:r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Rail</w:t>
      </w:r>
      <w:proofErr w:type="spellEnd"/>
    </w:p>
    <w:p w14:paraId="59A02FAA" w14:textId="0C7A2DFC" w:rsidR="00F84745" w:rsidRPr="00204864" w:rsidRDefault="000264BD" w:rsidP="00AE5E40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Budowa będzie realizowana etapami. W pierwszej kolejności zostaną wykonane prace budowlane w okolicy miasta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Ekawa</w:t>
      </w:r>
      <w:proofErr w:type="spellEnd"/>
      <w:r w:rsidR="00E85955"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w okręgu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Bauska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.  </w:t>
      </w:r>
    </w:p>
    <w:p w14:paraId="71517834" w14:textId="6A210F05" w:rsidR="00DB029E" w:rsidRPr="004F36FD" w:rsidRDefault="000264BD" w:rsidP="004F36FD">
      <w:pPr>
        <w:spacing w:line="240" w:lineRule="auto"/>
        <w:ind w:left="-284" w:right="18"/>
        <w:jc w:val="both"/>
        <w:rPr>
          <w:rFonts w:ascii="Calibri Light" w:eastAsia="Calibri Light" w:hAnsi="Calibri Light" w:cs="Times New Roman"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Roboty na linii kolejowej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Baltica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pod Rygą obejmą podtorze-nasypy, przejazdy drogowe oraz nawierzchnię torową, w tym tory i powiązaną infrastrukturę. Szacunkowa wartość kontraktu opa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>r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tego na FIDIC to 3,7 mld euro. Dokładne koszty poszczególnych odcinków robót zostaną wyliczone po zapoznaniu się z projektami budowlanymi. Za nadzór nad kontraktem, realizacją robót i budżetu odpowiadać będą zamawiający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Eiropas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Dzelzceļa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līnijas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oraz </w:t>
      </w:r>
      <w:bookmarkStart w:id="1" w:name="_Hlk166858567"/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Ferrovie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dello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Stato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Italian</w:t>
      </w:r>
      <w:r w:rsidRPr="0006434D">
        <w:rPr>
          <w:rFonts w:ascii="Calibri Light" w:eastAsia="Calibri Light" w:hAnsi="Calibri Light" w:cs="Times New Roman"/>
          <w:sz w:val="24"/>
          <w:szCs w:val="24"/>
          <w:lang w:val="pl-PL"/>
        </w:rPr>
        <w:t>o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Group</w:t>
      </w:r>
      <w:bookmarkEnd w:id="1"/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>, natomiast za nadzór nad realizacją</w:t>
      </w:r>
      <w:r w:rsidR="004F36FD"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 - 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>Ministerstwo Transportu.</w:t>
      </w:r>
    </w:p>
    <w:p w14:paraId="5D7D4EDC" w14:textId="5CDC26DE" w:rsidR="00642296" w:rsidRPr="00204864" w:rsidRDefault="000264BD" w:rsidP="00642296">
      <w:pPr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ERB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rozpocznie budowę pierwszego etapu w pobliżu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Ekawy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w okręgu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Bauska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, gdzie zlokalizowany będzie obiekt utrzymania infrastruktury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Baltica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. Całkowita powierzchnia centrum utrzymania to około 16,5 hektara. Punkty utrzymania infrastruktury będą służyły jako zaplecza podczas budowy linii kolejowej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Calibri Light" w:eastAsia="Calibri Light" w:hAnsi="Calibri Light" w:cs="Times New Roman"/>
          <w:sz w:val="24"/>
          <w:szCs w:val="24"/>
          <w:lang w:val="pl-PL"/>
        </w:rPr>
        <w:t>Baltica</w:t>
      </w:r>
      <w:proofErr w:type="spellEnd"/>
      <w:r>
        <w:rPr>
          <w:rFonts w:ascii="Calibri Light" w:eastAsia="Calibri Light" w:hAnsi="Calibri Light" w:cs="Times New Roman"/>
          <w:sz w:val="24"/>
          <w:szCs w:val="24"/>
          <w:lang w:val="pl-PL"/>
        </w:rPr>
        <w:t>, w tym budowy połączeń z istniejącą siecią kolejową o szerokości torów 1520 mm, w celu maksymalnego wykorzystania kolei do transportu materiałów budowlanych i maszyn.</w:t>
      </w:r>
    </w:p>
    <w:p w14:paraId="704379ED" w14:textId="71D23430" w:rsidR="00204864" w:rsidRDefault="000264BD" w:rsidP="00204864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>
        <w:rPr>
          <w:rFonts w:ascii="Calibri Light" w:eastAsia="Calibri Light" w:hAnsi="Calibri Light" w:cs="Times New Roman"/>
          <w:b/>
          <w:bCs/>
          <w:sz w:val="24"/>
          <w:szCs w:val="24"/>
          <w:lang w:val="pl-PL"/>
        </w:rPr>
        <w:lastRenderedPageBreak/>
        <w:t xml:space="preserve">Andy Swift, Dyrektor Projektu E.R.B. </w:t>
      </w:r>
      <w:proofErr w:type="spellStart"/>
      <w:r>
        <w:rPr>
          <w:rFonts w:ascii="Calibri Light" w:eastAsia="Calibri Light" w:hAnsi="Calibri Light" w:cs="Times New Roman"/>
          <w:b/>
          <w:bCs/>
          <w:sz w:val="24"/>
          <w:szCs w:val="24"/>
          <w:lang w:val="pl-PL"/>
        </w:rPr>
        <w:t>Rail</w:t>
      </w:r>
      <w:proofErr w:type="spellEnd"/>
      <w:r>
        <w:rPr>
          <w:rFonts w:ascii="Calibri Light" w:eastAsia="Calibri Light" w:hAnsi="Calibri Light" w:cs="Times New Roman"/>
          <w:b/>
          <w:bCs/>
          <w:sz w:val="24"/>
          <w:szCs w:val="24"/>
          <w:lang w:val="pl-PL"/>
        </w:rPr>
        <w:t xml:space="preserve"> JV: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 xml:space="preserve">  „</w:t>
      </w:r>
      <w:r w:rsidRPr="000264BD"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Mamy wiedzę specjalistyczną i bogate doświadczenie w realizacji strategicznych obiektów w Europie. Wykonujemy prace w wielu krajach, w najwyższej światowej jakości, zgodnie z budżetem i harmonogramem. Biorąc pod uwagę skalę projektu, oczywiste jest zaangażowanie lokalnych firm w główne prace budowlane. Innym ważnym aspektem będzie współpraca z Poli</w:t>
      </w:r>
      <w:r w:rsidR="004F36FD" w:rsidRPr="000264BD"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t</w:t>
      </w:r>
      <w:r w:rsidRPr="000264BD"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 xml:space="preserve">echniką w Rydze w celu przyciągnięcia studentów, którzy będą mieli wyjątkową okazję do zdobycia doświadczenia w europejskim projekcie budowy infrastruktury kolejowej. Należy podkreślić, że jest to projekt wieloletni, w związku z czym współpraca ERB </w:t>
      </w:r>
      <w:proofErr w:type="spellStart"/>
      <w:r w:rsidRPr="000264BD"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>Rail</w:t>
      </w:r>
      <w:proofErr w:type="spellEnd"/>
      <w:r w:rsidRPr="000264BD">
        <w:rPr>
          <w:rFonts w:ascii="Calibri Light" w:eastAsia="Calibri Light" w:hAnsi="Calibri Light" w:cs="Times New Roman"/>
          <w:i/>
          <w:iCs/>
          <w:sz w:val="24"/>
          <w:szCs w:val="24"/>
          <w:lang w:val="pl-PL"/>
        </w:rPr>
        <w:t xml:space="preserve"> z lokalnymi inżynierami oraz obecnymi i przyszłymi studentami ma zasadnicze znaczenie dla powodzenia projektu</w:t>
      </w:r>
      <w:r>
        <w:rPr>
          <w:rFonts w:ascii="Calibri Light" w:eastAsia="Calibri Light" w:hAnsi="Calibri Light" w:cs="Times New Roman"/>
          <w:sz w:val="24"/>
          <w:szCs w:val="24"/>
          <w:lang w:val="pl-PL"/>
        </w:rPr>
        <w:t>”.</w:t>
      </w:r>
      <w:bookmarkEnd w:id="0"/>
    </w:p>
    <w:p w14:paraId="526EEFEC" w14:textId="77777777" w:rsidR="00204864" w:rsidRDefault="00204864" w:rsidP="00204864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Eiffage jest głównym graczem w budownictwie i koncesjach w Europie, firma była zaangażowana w budowę linii dużych prędkości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Bretagne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-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Pays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de la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Loire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we Francji i uczestniczy w pracach nad brytyjską linią High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Speed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2 łączącą Londyn z Birmingham.</w:t>
      </w:r>
    </w:p>
    <w:p w14:paraId="3B70DC95" w14:textId="5F653BE3" w:rsidR="00204864" w:rsidRDefault="00204864" w:rsidP="00204864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Budimex jest jednym z liderów budownictwa kolejowego w Polsce. Firma realizuje obecnie m.in. nowy Dworzec Zachodni w Warszawie, jedną z największych inwestycji PKP </w:t>
      </w:r>
      <w:r w:rsidR="004F36FD">
        <w:rPr>
          <w:rFonts w:asciiTheme="majorHAnsi" w:hAnsiTheme="majorHAnsi" w:cstheme="majorHAnsi"/>
          <w:bCs/>
          <w:sz w:val="24"/>
          <w:szCs w:val="24"/>
          <w:lang w:val="pl-PL"/>
        </w:rPr>
        <w:t>PLK</w:t>
      </w:r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SA. Jako Generalny Wykonawca odpowiada również za budowę w</w:t>
      </w:r>
      <w:r w:rsidR="004F36FD">
        <w:rPr>
          <w:rFonts w:asciiTheme="majorHAnsi" w:hAnsiTheme="majorHAnsi" w:cstheme="majorHAnsi"/>
          <w:bCs/>
          <w:sz w:val="24"/>
          <w:szCs w:val="24"/>
          <w:lang w:val="pl-PL"/>
        </w:rPr>
        <w:t>ę</w:t>
      </w:r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zła kolejowego Port Gdynia, dworca w Ełku oraz dworca w Czechowicach-Dziedzicach.</w:t>
      </w:r>
    </w:p>
    <w:p w14:paraId="6B1992C2" w14:textId="77777777" w:rsidR="004F36FD" w:rsidRDefault="00204864" w:rsidP="004F36FD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pl-PL"/>
        </w:rPr>
      </w:pP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Rizzani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de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Eccher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pracuje już na Łotwie przy budowie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Rail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Baltica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</w:t>
      </w:r>
      <w:proofErr w:type="spellStart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>Riga</w:t>
      </w:r>
      <w:proofErr w:type="spellEnd"/>
      <w:r w:rsidRPr="00204864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Central Hub. Firma specjalizuje się w budowie obiektów inżynieryjnych i może pochwalić się doświadczeniem w budowie 4 mln m2 ustrojów nośnych oraz świadczeniem usług inżynieryjnych i udostępnianiem specjalistycznego sprzętu do budowy ponad 7 mln m2 ustrojów nośnych.</w:t>
      </w:r>
    </w:p>
    <w:p w14:paraId="6FA99C14" w14:textId="77777777" w:rsidR="000264BD" w:rsidRDefault="000264BD" w:rsidP="00873390">
      <w:pPr>
        <w:spacing w:line="240" w:lineRule="auto"/>
        <w:ind w:left="-284" w:right="18"/>
        <w:jc w:val="both"/>
        <w:rPr>
          <w:b/>
          <w:bCs/>
          <w:lang w:val="pl-PL"/>
        </w:rPr>
      </w:pPr>
    </w:p>
    <w:p w14:paraId="2301E226" w14:textId="2B954074" w:rsidR="00443DE8" w:rsidRPr="00F84EF6" w:rsidRDefault="00443DE8" w:rsidP="00873390">
      <w:pPr>
        <w:spacing w:line="240" w:lineRule="auto"/>
        <w:ind w:left="-284" w:right="18"/>
        <w:jc w:val="both"/>
        <w:rPr>
          <w:b/>
          <w:bCs/>
          <w:i/>
          <w:iCs/>
          <w:lang w:val="pl-PL"/>
        </w:rPr>
      </w:pPr>
      <w:r w:rsidRPr="00F84EF6">
        <w:rPr>
          <w:b/>
          <w:bCs/>
          <w:i/>
          <w:iCs/>
          <w:lang w:val="pl-PL"/>
        </w:rPr>
        <w:t>O Sia</w:t>
      </w:r>
    </w:p>
    <w:p w14:paraId="1A4D9ADB" w14:textId="3AC6331D" w:rsidR="00443DE8" w:rsidRPr="00464FAE" w:rsidRDefault="00443DE8" w:rsidP="00873390">
      <w:pPr>
        <w:spacing w:line="240" w:lineRule="auto"/>
        <w:ind w:left="-284" w:right="18"/>
        <w:jc w:val="both"/>
        <w:rPr>
          <w:lang w:val="pl-PL"/>
        </w:rPr>
      </w:pPr>
      <w:proofErr w:type="spellStart"/>
      <w:r w:rsidRPr="00464FAE">
        <w:rPr>
          <w:lang w:val="pl-PL"/>
        </w:rPr>
        <w:t>European</w:t>
      </w:r>
      <w:proofErr w:type="spellEnd"/>
      <w:r w:rsidRPr="00464FAE">
        <w:rPr>
          <w:lang w:val="pl-PL"/>
        </w:rPr>
        <w:t xml:space="preserve"> Railway Lines jest  krajowym realizatorem  projektu </w:t>
      </w:r>
      <w:proofErr w:type="spellStart"/>
      <w:r w:rsidRPr="00464FAE">
        <w:rPr>
          <w:lang w:val="pl-PL"/>
        </w:rPr>
        <w:t>Rail</w:t>
      </w:r>
      <w:proofErr w:type="spellEnd"/>
      <w:r w:rsidRPr="00464FAE">
        <w:rPr>
          <w:lang w:val="pl-PL"/>
        </w:rPr>
        <w:t xml:space="preserve"> </w:t>
      </w:r>
      <w:proofErr w:type="spellStart"/>
      <w:r w:rsidRPr="00464FAE">
        <w:rPr>
          <w:lang w:val="pl-PL"/>
        </w:rPr>
        <w:t>Baltica</w:t>
      </w:r>
      <w:proofErr w:type="spellEnd"/>
      <w:r w:rsidRPr="00464FAE">
        <w:rPr>
          <w:lang w:val="pl-PL"/>
        </w:rPr>
        <w:t xml:space="preserve"> na Łotwie.</w:t>
      </w:r>
      <w:r w:rsidR="00155E82" w:rsidRPr="00464FAE">
        <w:rPr>
          <w:lang w:val="pl-PL"/>
        </w:rPr>
        <w:t xml:space="preserve"> </w:t>
      </w:r>
      <w:proofErr w:type="spellStart"/>
      <w:r w:rsidRPr="00464FAE">
        <w:rPr>
          <w:lang w:val="pl-PL"/>
        </w:rPr>
        <w:t>European</w:t>
      </w:r>
      <w:proofErr w:type="spellEnd"/>
      <w:r w:rsidRPr="00464FAE">
        <w:rPr>
          <w:lang w:val="pl-PL"/>
        </w:rPr>
        <w:t xml:space="preserve"> Railway Lines realizuje projekt </w:t>
      </w:r>
      <w:proofErr w:type="spellStart"/>
      <w:r w:rsidRPr="00464FAE">
        <w:rPr>
          <w:lang w:val="pl-PL"/>
        </w:rPr>
        <w:t>Rail</w:t>
      </w:r>
      <w:proofErr w:type="spellEnd"/>
      <w:r w:rsidRPr="00464FAE">
        <w:rPr>
          <w:lang w:val="pl-PL"/>
        </w:rPr>
        <w:t xml:space="preserve"> </w:t>
      </w:r>
      <w:proofErr w:type="spellStart"/>
      <w:r w:rsidRPr="00464FAE">
        <w:rPr>
          <w:lang w:val="pl-PL"/>
        </w:rPr>
        <w:t>Baltica</w:t>
      </w:r>
      <w:proofErr w:type="spellEnd"/>
      <w:r w:rsidRPr="00464FAE">
        <w:rPr>
          <w:lang w:val="pl-PL"/>
        </w:rPr>
        <w:t xml:space="preserve"> na Łotwie zgodnie z umowami finansowymi zawartymi pomiędzy CINEA (Europejską Agencją Wykonawczą ds. Klimatu, Infrastruktury i Środowiska), która jest Europejską Agencją Wykonawczą ds. Klimatu, Infrastruktury i Środowiska, a RB </w:t>
      </w:r>
      <w:proofErr w:type="spellStart"/>
      <w:r w:rsidRPr="00464FAE">
        <w:rPr>
          <w:lang w:val="pl-PL"/>
        </w:rPr>
        <w:t>Rail</w:t>
      </w:r>
      <w:proofErr w:type="spellEnd"/>
      <w:r w:rsidRPr="00464FAE">
        <w:rPr>
          <w:lang w:val="pl-PL"/>
        </w:rPr>
        <w:t xml:space="preserve"> AS, która jest wspólnym przedsięwzięciem Estonii, Łotwy i Litwy, upoważnionym przez </w:t>
      </w:r>
      <w:r w:rsidR="007209A0" w:rsidRPr="00464FAE">
        <w:rPr>
          <w:lang w:val="pl-PL"/>
        </w:rPr>
        <w:t>kraje</w:t>
      </w:r>
      <w:r w:rsidRPr="00464FAE">
        <w:rPr>
          <w:lang w:val="pl-PL"/>
        </w:rPr>
        <w:t xml:space="preserve"> bałtyckie do podpisywania umów finansowania i odpowiedzialnym za </w:t>
      </w:r>
      <w:r w:rsidR="00BF49E6" w:rsidRPr="00464FAE">
        <w:rPr>
          <w:lang w:val="pl-PL"/>
        </w:rPr>
        <w:t>r</w:t>
      </w:r>
      <w:r w:rsidRPr="00464FAE">
        <w:rPr>
          <w:lang w:val="pl-PL"/>
        </w:rPr>
        <w:t>ealizacj</w:t>
      </w:r>
      <w:r w:rsidR="00BF49E6" w:rsidRPr="00464FAE">
        <w:rPr>
          <w:lang w:val="pl-PL"/>
        </w:rPr>
        <w:t>ę</w:t>
      </w:r>
      <w:r w:rsidRPr="00464FAE">
        <w:rPr>
          <w:lang w:val="pl-PL"/>
        </w:rPr>
        <w:t xml:space="preserve"> horyzontalnych, czyli wspólnych, działań projektu </w:t>
      </w:r>
      <w:proofErr w:type="spellStart"/>
      <w:r w:rsidRPr="00464FAE">
        <w:rPr>
          <w:lang w:val="pl-PL"/>
        </w:rPr>
        <w:t>Rail</w:t>
      </w:r>
      <w:proofErr w:type="spellEnd"/>
      <w:r w:rsidRPr="00464FAE">
        <w:rPr>
          <w:lang w:val="pl-PL"/>
        </w:rPr>
        <w:t xml:space="preserve"> </w:t>
      </w:r>
      <w:proofErr w:type="spellStart"/>
      <w:r w:rsidRPr="00464FAE">
        <w:rPr>
          <w:lang w:val="pl-PL"/>
        </w:rPr>
        <w:t>Baltica</w:t>
      </w:r>
      <w:proofErr w:type="spellEnd"/>
      <w:r w:rsidRPr="00464FAE">
        <w:rPr>
          <w:lang w:val="pl-PL"/>
        </w:rPr>
        <w:t>.</w:t>
      </w:r>
    </w:p>
    <w:p w14:paraId="2E3A8F3D" w14:textId="529E6D4F" w:rsidR="00443DE8" w:rsidRPr="00464FAE" w:rsidRDefault="00443DE8" w:rsidP="00873390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 xml:space="preserve">Finansowanie tego projektu w przedziale 81-85% zapewnia </w:t>
      </w:r>
      <w:r w:rsidR="00F54DD0" w:rsidRPr="00464FAE">
        <w:rPr>
          <w:lang w:val="pl-PL"/>
        </w:rPr>
        <w:t>program UE</w:t>
      </w:r>
      <w:r w:rsidRPr="00464FAE">
        <w:rPr>
          <w:lang w:val="pl-PL"/>
        </w:rPr>
        <w:t>, a pozostał</w:t>
      </w:r>
      <w:r w:rsidR="00770D19" w:rsidRPr="00464FAE">
        <w:rPr>
          <w:lang w:val="pl-PL"/>
        </w:rPr>
        <w:t>a</w:t>
      </w:r>
      <w:r w:rsidRPr="00464FAE">
        <w:rPr>
          <w:lang w:val="pl-PL"/>
        </w:rPr>
        <w:t xml:space="preserve"> część </w:t>
      </w:r>
      <w:r w:rsidR="00770D19" w:rsidRPr="00464FAE">
        <w:rPr>
          <w:lang w:val="pl-PL"/>
        </w:rPr>
        <w:t>pochodzi</w:t>
      </w:r>
      <w:r w:rsidRPr="00464FAE">
        <w:rPr>
          <w:lang w:val="pl-PL"/>
        </w:rPr>
        <w:t xml:space="preserve"> </w:t>
      </w:r>
      <w:r w:rsidR="00770D19" w:rsidRPr="00464FAE">
        <w:rPr>
          <w:lang w:val="pl-PL"/>
        </w:rPr>
        <w:t xml:space="preserve">ze </w:t>
      </w:r>
      <w:r w:rsidRPr="00464FAE">
        <w:rPr>
          <w:lang w:val="pl-PL"/>
        </w:rPr>
        <w:t>środków z budżetu Łotwy. Beneficjentem pomocy unijnej i realizatorem projektu jest Ministerstwo Transportu.</w:t>
      </w:r>
    </w:p>
    <w:p w14:paraId="3B5C7525" w14:textId="77777777" w:rsidR="004F36FD" w:rsidRPr="00F84EF6" w:rsidRDefault="00204864" w:rsidP="004F36FD">
      <w:pPr>
        <w:spacing w:line="240" w:lineRule="auto"/>
        <w:ind w:left="-284" w:right="18"/>
        <w:jc w:val="both"/>
        <w:rPr>
          <w:b/>
          <w:bCs/>
          <w:i/>
          <w:iCs/>
          <w:lang w:val="pl-PL"/>
        </w:rPr>
      </w:pPr>
      <w:r w:rsidRPr="00F84EF6">
        <w:rPr>
          <w:b/>
          <w:bCs/>
          <w:i/>
          <w:iCs/>
          <w:lang w:val="pl-PL"/>
        </w:rPr>
        <w:t>O ERB Rail</w:t>
      </w:r>
    </w:p>
    <w:p w14:paraId="32DBEBD7" w14:textId="77777777" w:rsidR="00770D19" w:rsidRPr="00464FAE" w:rsidRDefault="00204864" w:rsidP="00770D19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>E.R.B. Rail JV PS to konsorcjum, któremu powierzono budowę linii Rail Baltica na Łotwie. Dzięki naszemu doświadczeniu, zaangażowaniu i nastawieniu na współpracę kształtujemy przyszłość infrastruktury transportowej w regionie Morza Bałtyckiego.</w:t>
      </w:r>
    </w:p>
    <w:p w14:paraId="53E6C8DA" w14:textId="77777777" w:rsidR="00770D19" w:rsidRPr="00F84EF6" w:rsidRDefault="00204864" w:rsidP="00770D19">
      <w:pPr>
        <w:spacing w:line="240" w:lineRule="auto"/>
        <w:ind w:left="-284" w:right="18"/>
        <w:jc w:val="both"/>
        <w:rPr>
          <w:b/>
          <w:bCs/>
          <w:i/>
          <w:iCs/>
          <w:lang w:val="pl-PL"/>
        </w:rPr>
      </w:pPr>
      <w:r w:rsidRPr="00F84EF6">
        <w:rPr>
          <w:b/>
          <w:bCs/>
          <w:i/>
          <w:iCs/>
          <w:lang w:val="pl-PL"/>
        </w:rPr>
        <w:t>O Eiffage</w:t>
      </w:r>
    </w:p>
    <w:p w14:paraId="53177B87" w14:textId="77777777" w:rsidR="00CA0817" w:rsidRPr="00464FAE" w:rsidRDefault="00204864" w:rsidP="00CA0817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 xml:space="preserve">Eiffage jest jedną z wiodących firm budowlanych i koncesyjnych w Europie. Działalność Grupy jest zorganizowana wokół następujących linii biznesowych: budownictwo, nieruchomości i rozwój miast, </w:t>
      </w:r>
      <w:r w:rsidRPr="00464FAE">
        <w:rPr>
          <w:lang w:val="pl-PL"/>
        </w:rPr>
        <w:lastRenderedPageBreak/>
        <w:t>inżynieria lądowa, konstrukcje stalowe, drogi, instalacje energetyczne i koncesje. Dzięki doświadczeniu 76 300 pracowników Eiffage wygenerowała w 2022 r. przychody w wysokości 20,3 mld euro, z czego 30% poza Francją.</w:t>
      </w:r>
    </w:p>
    <w:p w14:paraId="1D0FC724" w14:textId="77777777" w:rsidR="00CA0817" w:rsidRDefault="00204864" w:rsidP="00CA0817">
      <w:pPr>
        <w:spacing w:line="240" w:lineRule="auto"/>
        <w:ind w:left="-284" w:right="18"/>
        <w:jc w:val="both"/>
        <w:rPr>
          <w:rFonts w:asciiTheme="majorHAnsi" w:hAnsiTheme="majorHAnsi" w:cstheme="majorBidi"/>
          <w:sz w:val="24"/>
          <w:szCs w:val="24"/>
          <w:lang w:val="lv-LV"/>
        </w:rPr>
      </w:pPr>
      <w:r w:rsidRPr="00204864">
        <w:rPr>
          <w:b/>
          <w:bCs/>
          <w:lang w:val="pl-PL"/>
        </w:rPr>
        <w:t xml:space="preserve">O </w:t>
      </w:r>
      <w:r w:rsidRPr="00204864">
        <w:rPr>
          <w:b/>
          <w:bCs/>
          <w:i/>
          <w:iCs/>
          <w:lang w:val="pl-PL"/>
        </w:rPr>
        <w:t>Budimeksie</w:t>
      </w:r>
    </w:p>
    <w:p w14:paraId="649633CA" w14:textId="4EF10D0D" w:rsidR="00403A1B" w:rsidRPr="00403A1B" w:rsidRDefault="00403A1B" w:rsidP="0013613A">
      <w:pPr>
        <w:spacing w:line="240" w:lineRule="auto"/>
        <w:ind w:left="-284" w:right="18"/>
        <w:jc w:val="both"/>
        <w:rPr>
          <w:lang w:val="pl-PL"/>
        </w:rPr>
      </w:pPr>
      <w:r w:rsidRPr="00403A1B">
        <w:rPr>
          <w:lang w:val="pl-PL"/>
        </w:rPr>
        <w:t xml:space="preserve">BUDIMEX SA 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</w:t>
      </w:r>
      <w:proofErr w:type="spellStart"/>
      <w:r w:rsidRPr="00403A1B">
        <w:rPr>
          <w:lang w:val="pl-PL"/>
        </w:rPr>
        <w:t>elektromobilności</w:t>
      </w:r>
      <w:proofErr w:type="spellEnd"/>
      <w:r w:rsidRPr="00403A1B">
        <w:rPr>
          <w:lang w:val="pl-PL"/>
        </w:rPr>
        <w:t xml:space="preserve">, gospodarki odpadami, utrzymaniem dróg i nieruchomości oraz </w:t>
      </w:r>
      <w:proofErr w:type="spellStart"/>
      <w:r w:rsidRPr="00403A1B">
        <w:rPr>
          <w:lang w:val="pl-PL"/>
        </w:rPr>
        <w:t>elektromobilności</w:t>
      </w:r>
      <w:proofErr w:type="spellEnd"/>
      <w:r w:rsidRPr="00403A1B">
        <w:rPr>
          <w:lang w:val="pl-PL"/>
        </w:rPr>
        <w:t xml:space="preserve">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</w:t>
      </w:r>
      <w:proofErr w:type="spellStart"/>
      <w:r w:rsidRPr="00403A1B">
        <w:rPr>
          <w:lang w:val="pl-PL"/>
        </w:rPr>
        <w:t>FBSerwis</w:t>
      </w:r>
      <w:proofErr w:type="spellEnd"/>
      <w:r w:rsidRPr="00403A1B">
        <w:rPr>
          <w:lang w:val="pl-PL"/>
        </w:rPr>
        <w:t xml:space="preserve">, BXF Energia, Budimex Kolejnictwo, Budimex </w:t>
      </w:r>
      <w:proofErr w:type="spellStart"/>
      <w:r w:rsidRPr="00403A1B">
        <w:rPr>
          <w:lang w:val="pl-PL"/>
        </w:rPr>
        <w:t>Mobility</w:t>
      </w:r>
      <w:proofErr w:type="spellEnd"/>
      <w:r w:rsidRPr="00403A1B">
        <w:rPr>
          <w:lang w:val="pl-PL"/>
        </w:rPr>
        <w:t>.</w:t>
      </w:r>
    </w:p>
    <w:p w14:paraId="201632F9" w14:textId="77777777" w:rsidR="00403A1B" w:rsidRDefault="00403A1B" w:rsidP="00403A1B">
      <w:pPr>
        <w:spacing w:line="240" w:lineRule="auto"/>
        <w:ind w:left="-284" w:right="18"/>
        <w:jc w:val="both"/>
        <w:rPr>
          <w:lang w:val="pl-PL"/>
        </w:rPr>
      </w:pPr>
      <w:r w:rsidRPr="00403A1B">
        <w:rPr>
          <w:lang w:val="pl-PL"/>
        </w:rPr>
        <w:t>Więcej informacji jest dostępnych na </w:t>
      </w:r>
      <w:r w:rsidR="00000000">
        <w:fldChar w:fldCharType="begin"/>
      </w:r>
      <w:r w:rsidR="00000000" w:rsidRPr="00F84EF6">
        <w:rPr>
          <w:lang w:val="pl-PL"/>
        </w:rPr>
        <w:instrText>HYPERLINK "http://www.budimex.pl"</w:instrText>
      </w:r>
      <w:r w:rsidR="00000000">
        <w:fldChar w:fldCharType="separate"/>
      </w:r>
      <w:r w:rsidRPr="006101B0">
        <w:rPr>
          <w:rStyle w:val="Hipercze"/>
          <w:lang w:val="pl-PL"/>
        </w:rPr>
        <w:t>www.budimex.pl</w:t>
      </w:r>
      <w:r w:rsidR="00000000">
        <w:rPr>
          <w:rStyle w:val="Hipercze"/>
          <w:lang w:val="pl-PL"/>
        </w:rPr>
        <w:fldChar w:fldCharType="end"/>
      </w:r>
    </w:p>
    <w:p w14:paraId="1EEBCDD1" w14:textId="77777777" w:rsidR="00403A1B" w:rsidRDefault="00204864" w:rsidP="00403A1B">
      <w:pPr>
        <w:spacing w:line="240" w:lineRule="auto"/>
        <w:ind w:left="-284" w:right="18"/>
        <w:jc w:val="both"/>
        <w:rPr>
          <w:lang w:val="pl-PL"/>
        </w:rPr>
      </w:pPr>
      <w:r w:rsidRPr="00204864">
        <w:rPr>
          <w:b/>
          <w:bCs/>
          <w:lang w:val="pl-PL"/>
        </w:rPr>
        <w:t xml:space="preserve">O </w:t>
      </w:r>
      <w:proofErr w:type="spellStart"/>
      <w:r w:rsidRPr="00204864">
        <w:rPr>
          <w:b/>
          <w:bCs/>
          <w:i/>
          <w:iCs/>
          <w:lang w:val="pl-PL"/>
        </w:rPr>
        <w:t>Rizzani</w:t>
      </w:r>
      <w:proofErr w:type="spellEnd"/>
      <w:r w:rsidRPr="00204864">
        <w:rPr>
          <w:b/>
          <w:bCs/>
          <w:i/>
          <w:iCs/>
          <w:lang w:val="pl-PL"/>
        </w:rPr>
        <w:t xml:space="preserve"> de </w:t>
      </w:r>
      <w:proofErr w:type="spellStart"/>
      <w:r w:rsidRPr="00204864">
        <w:rPr>
          <w:b/>
          <w:bCs/>
          <w:i/>
          <w:iCs/>
          <w:lang w:val="pl-PL"/>
        </w:rPr>
        <w:t>Eccher</w:t>
      </w:r>
      <w:proofErr w:type="spellEnd"/>
    </w:p>
    <w:p w14:paraId="2AABE650" w14:textId="77777777" w:rsidR="006B5871" w:rsidRDefault="00204864" w:rsidP="006B5871">
      <w:pPr>
        <w:spacing w:line="240" w:lineRule="auto"/>
        <w:ind w:left="-284" w:right="18"/>
        <w:jc w:val="both"/>
        <w:rPr>
          <w:lang w:val="pl-PL"/>
        </w:rPr>
      </w:pPr>
      <w:proofErr w:type="spellStart"/>
      <w:r w:rsidRPr="00204864">
        <w:rPr>
          <w:lang w:val="pl-PL"/>
        </w:rPr>
        <w:t>Rizzani</w:t>
      </w:r>
      <w:proofErr w:type="spellEnd"/>
      <w:r w:rsidRPr="00204864">
        <w:rPr>
          <w:lang w:val="pl-PL"/>
        </w:rPr>
        <w:t xml:space="preserve"> de </w:t>
      </w:r>
      <w:proofErr w:type="spellStart"/>
      <w:r w:rsidRPr="00204864">
        <w:rPr>
          <w:lang w:val="pl-PL"/>
        </w:rPr>
        <w:t>Eccher</w:t>
      </w:r>
      <w:proofErr w:type="spellEnd"/>
      <w:r w:rsidRPr="00204864">
        <w:rPr>
          <w:lang w:val="pl-PL"/>
        </w:rPr>
        <w:t xml:space="preserve"> </w:t>
      </w:r>
      <w:r w:rsidR="006B5871">
        <w:rPr>
          <w:lang w:val="pl-PL"/>
        </w:rPr>
        <w:t>działa</w:t>
      </w:r>
      <w:r w:rsidRPr="00204864">
        <w:rPr>
          <w:lang w:val="pl-PL"/>
        </w:rPr>
        <w:t xml:space="preserve"> na międzynarodowym rynku budowlanym, zatrudniając ponad 2300 pracowników i osiągającym roczny obrót w wysokości około 850 milionów euro, generowany głównie za granicą. Grupa prowadzi obecnie działalność w ponad 70 krajach. Specjalizuje się w generalnym wykonawstwie, infrastrukturze i nowoczesnych obiektach inżynieryjnych.</w:t>
      </w:r>
    </w:p>
    <w:p w14:paraId="21EABB34" w14:textId="77777777" w:rsidR="006B5871" w:rsidRDefault="006B5871" w:rsidP="006B5871">
      <w:pPr>
        <w:spacing w:line="240" w:lineRule="auto"/>
        <w:ind w:left="-284" w:right="18"/>
        <w:jc w:val="both"/>
        <w:rPr>
          <w:lang w:val="pl-PL"/>
        </w:rPr>
      </w:pPr>
    </w:p>
    <w:p w14:paraId="30DBEEAD" w14:textId="77777777" w:rsidR="006B5871" w:rsidRPr="00464FAE" w:rsidRDefault="00443DE8" w:rsidP="006B5871">
      <w:pPr>
        <w:spacing w:line="240" w:lineRule="auto"/>
        <w:ind w:left="-284" w:right="18"/>
        <w:jc w:val="both"/>
        <w:rPr>
          <w:b/>
          <w:bCs/>
          <w:lang w:val="pl-PL"/>
        </w:rPr>
      </w:pPr>
      <w:r w:rsidRPr="00464FAE">
        <w:rPr>
          <w:b/>
          <w:bCs/>
          <w:lang w:val="pl-PL"/>
        </w:rPr>
        <w:t>Więce</w:t>
      </w:r>
      <w:r w:rsidR="006B5871" w:rsidRPr="00464FAE">
        <w:rPr>
          <w:b/>
          <w:bCs/>
          <w:lang w:val="pl-PL"/>
        </w:rPr>
        <w:t xml:space="preserve">j informacji: </w:t>
      </w:r>
    </w:p>
    <w:p w14:paraId="7F37142B" w14:textId="77777777" w:rsidR="006B5871" w:rsidRPr="00464FAE" w:rsidRDefault="00204864" w:rsidP="006B5871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>Linda Pastare,</w:t>
      </w:r>
    </w:p>
    <w:p w14:paraId="528A9449" w14:textId="77777777" w:rsidR="00AC0709" w:rsidRPr="00464FAE" w:rsidRDefault="00443DE8" w:rsidP="006B5871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>Kierownik ds. Public Relations i Interesariuszy Europejskiej Linii Kolejowej</w:t>
      </w:r>
    </w:p>
    <w:p w14:paraId="423129A3" w14:textId="77777777" w:rsidR="00464FAE" w:rsidRDefault="00204864" w:rsidP="006B5871">
      <w:pPr>
        <w:spacing w:line="240" w:lineRule="auto"/>
        <w:ind w:left="-284" w:right="18"/>
        <w:jc w:val="both"/>
        <w:rPr>
          <w:lang w:val="pl-PL"/>
        </w:rPr>
      </w:pPr>
      <w:r w:rsidRPr="00464FAE">
        <w:rPr>
          <w:lang w:val="pl-PL"/>
        </w:rPr>
        <w:t>mob.tel.29374438,</w:t>
      </w:r>
      <w:r w:rsidRPr="00464FAE">
        <w:rPr>
          <w:lang w:val="pl-PL"/>
        </w:rPr>
        <w:br/>
      </w:r>
      <w:hyperlink r:id="rId8" w:history="1">
        <w:r w:rsidR="00AC0709" w:rsidRPr="00464FAE">
          <w:rPr>
            <w:lang w:val="pl-PL"/>
          </w:rPr>
          <w:t>linda.pastare@edzl.lv</w:t>
        </w:r>
      </w:hyperlink>
    </w:p>
    <w:p w14:paraId="4A5EC730" w14:textId="7EC1D59F" w:rsidR="00464FAE" w:rsidRPr="00464FAE" w:rsidRDefault="00464FAE" w:rsidP="00464FAE">
      <w:pPr>
        <w:spacing w:line="240" w:lineRule="auto"/>
        <w:ind w:left="-284" w:right="18"/>
        <w:jc w:val="both"/>
        <w:rPr>
          <w:lang w:val="pl-PL"/>
        </w:rPr>
      </w:pPr>
    </w:p>
    <w:p w14:paraId="61876847" w14:textId="77777777" w:rsidR="00204864" w:rsidRPr="00C115AC" w:rsidRDefault="00204864" w:rsidP="00204864">
      <w:pPr>
        <w:rPr>
          <w:lang w:val="lv-LV"/>
        </w:rPr>
      </w:pPr>
    </w:p>
    <w:p w14:paraId="3D30F1E3" w14:textId="77777777" w:rsidR="0001004E" w:rsidRDefault="0001004E" w:rsidP="00AE5E40">
      <w:pPr>
        <w:spacing w:line="240" w:lineRule="auto"/>
        <w:ind w:left="-270" w:right="-270"/>
        <w:rPr>
          <w:rFonts w:asciiTheme="majorHAnsi" w:hAnsiTheme="majorHAnsi" w:cstheme="majorHAnsi"/>
          <w:noProof/>
          <w:sz w:val="24"/>
          <w:szCs w:val="24"/>
          <w:lang w:val="lv-LV"/>
          <w14:ligatures w14:val="none"/>
        </w:rPr>
      </w:pPr>
    </w:p>
    <w:p w14:paraId="19BC567A" w14:textId="77777777" w:rsidR="0001004E" w:rsidRDefault="000264BD" w:rsidP="00AE5E40">
      <w:pPr>
        <w:spacing w:line="240" w:lineRule="auto"/>
        <w:ind w:left="-270" w:right="-270"/>
        <w:jc w:val="center"/>
        <w:rPr>
          <w:rFonts w:asciiTheme="majorHAnsi" w:hAnsiTheme="majorHAnsi" w:cstheme="majorHAnsi"/>
          <w:sz w:val="24"/>
          <w:szCs w:val="24"/>
          <w:lang w:val="lv-LV"/>
        </w:rPr>
      </w:pPr>
      <w:r>
        <w:rPr>
          <w:rFonts w:asciiTheme="majorHAnsi" w:hAnsiTheme="majorHAnsi" w:cstheme="majorHAnsi"/>
          <w:noProof/>
          <w:sz w:val="24"/>
          <w:szCs w:val="24"/>
          <w:lang w:val="lv-LV"/>
          <w14:ligatures w14:val="none"/>
        </w:rPr>
        <w:drawing>
          <wp:inline distT="0" distB="0" distL="0" distR="0" wp14:anchorId="7AB86582" wp14:editId="0F1B2BC2">
            <wp:extent cx="2116947" cy="929005"/>
            <wp:effectExtent l="0" t="0" r="0" b="4445"/>
            <wp:docPr id="630260164" name="Picture 1" descr="A group of logos of different b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60164" name="Picture 1" descr="A group of logos of different brand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1" r="38918" b="3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53" cy="93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000">
        <w:rPr>
          <w:rFonts w:asciiTheme="majorHAnsi" w:hAnsiTheme="majorHAnsi" w:cstheme="majorHAnsi"/>
          <w:sz w:val="24"/>
          <w:szCs w:val="24"/>
          <w:lang w:val="lv-LV"/>
        </w:rPr>
        <w:pict w14:anchorId="206A6AF3">
          <v:rect id="_x0000_i1025" style="width:456.45pt;height:1.6pt" o:hrpct="948" o:hralign="center" o:hrstd="t" o:hr="t" fillcolor="#a0a0a0" stroked="f"/>
        </w:pict>
      </w:r>
      <w:r>
        <w:rPr>
          <w:rFonts w:asciiTheme="majorHAnsi" w:hAnsiTheme="majorHAnsi" w:cstheme="majorHAnsi"/>
          <w:noProof/>
          <w:sz w:val="24"/>
          <w:szCs w:val="24"/>
          <w:lang w:val="lv-LV"/>
          <w14:ligatures w14:val="none"/>
        </w:rPr>
        <w:lastRenderedPageBreak/>
        <w:drawing>
          <wp:inline distT="0" distB="0" distL="0" distR="0" wp14:anchorId="2D95ABF8" wp14:editId="3F94D27E">
            <wp:extent cx="3368286" cy="508021"/>
            <wp:effectExtent l="0" t="0" r="3810" b="0"/>
            <wp:docPr id="883788083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88083" name="Picture 5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959" cy="51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Theme="majorHAnsi" w:hAnsiTheme="majorHAnsi" w:cstheme="majorHAnsi"/>
          <w:sz w:val="24"/>
          <w:szCs w:val="24"/>
          <w:lang w:val="lv-LV"/>
        </w:rPr>
        <w:pict w14:anchorId="4414E496">
          <v:rect id="_x0000_i1026" style="width:456.45pt;height:1.6pt" o:hrpct="948" o:hralign="center" o:hrstd="t" o:hr="t" fillcolor="#a0a0a0" stroked="f"/>
        </w:pict>
      </w:r>
    </w:p>
    <w:p w14:paraId="694E44F5" w14:textId="77777777" w:rsidR="0001004E" w:rsidRDefault="000264BD" w:rsidP="00AE5E40">
      <w:pPr>
        <w:spacing w:line="240" w:lineRule="auto"/>
        <w:ind w:right="-270"/>
        <w:jc w:val="center"/>
        <w:rPr>
          <w:rFonts w:asciiTheme="majorHAnsi" w:hAnsiTheme="majorHAnsi" w:cstheme="majorHAnsi"/>
          <w:sz w:val="24"/>
          <w:szCs w:val="24"/>
          <w:lang w:val="lv-LV"/>
        </w:rPr>
      </w:pPr>
      <w:r>
        <w:rPr>
          <w:rFonts w:asciiTheme="majorHAnsi" w:hAnsiTheme="majorHAnsi" w:cstheme="majorHAnsi"/>
          <w:noProof/>
          <w:sz w:val="24"/>
          <w:szCs w:val="24"/>
          <w:lang w:val="lv-LV"/>
          <w14:ligatures w14:val="none"/>
        </w:rPr>
        <w:drawing>
          <wp:inline distT="0" distB="0" distL="0" distR="0" wp14:anchorId="7092336B" wp14:editId="41539C02">
            <wp:extent cx="1187450" cy="562202"/>
            <wp:effectExtent l="0" t="0" r="0" b="9525"/>
            <wp:docPr id="1129408872" name="Picture 1" descr="A group of logos of different b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408872" name="Picture 1" descr="A group of logos of different brand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1" t="19535" b="4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20" cy="56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04E">
      <w:headerReference w:type="default" r:id="rId11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A4D3" w14:textId="77777777" w:rsidR="00902759" w:rsidRDefault="00902759">
      <w:pPr>
        <w:spacing w:after="0" w:line="240" w:lineRule="auto"/>
      </w:pPr>
      <w:r>
        <w:separator/>
      </w:r>
    </w:p>
  </w:endnote>
  <w:endnote w:type="continuationSeparator" w:id="0">
    <w:p w14:paraId="60948ABB" w14:textId="77777777" w:rsidR="00902759" w:rsidRDefault="0090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7101" w14:textId="77777777" w:rsidR="00902759" w:rsidRDefault="00902759">
      <w:pPr>
        <w:spacing w:after="0" w:line="240" w:lineRule="auto"/>
      </w:pPr>
      <w:r>
        <w:separator/>
      </w:r>
    </w:p>
  </w:footnote>
  <w:footnote w:type="continuationSeparator" w:id="0">
    <w:p w14:paraId="406963FE" w14:textId="77777777" w:rsidR="00902759" w:rsidRDefault="0090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AC6F" w14:textId="77777777" w:rsidR="00F7236A" w:rsidRDefault="000264BD">
    <w:pPr>
      <w:pStyle w:val="Nagwek"/>
    </w:pPr>
    <w:r w:rsidRPr="00134F5A">
      <w:rPr>
        <w:rFonts w:asciiTheme="majorHAnsi" w:hAnsiTheme="majorHAnsi" w:cstheme="majorHAnsi"/>
        <w:noProof/>
        <w:sz w:val="24"/>
        <w:szCs w:val="24"/>
      </w:rPr>
      <w:drawing>
        <wp:inline distT="0" distB="0" distL="0" distR="0" wp14:anchorId="7D9A35D4" wp14:editId="2010059F">
          <wp:extent cx="5486400" cy="76041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AE2"/>
    <w:multiLevelType w:val="hybridMultilevel"/>
    <w:tmpl w:val="4ECC5D60"/>
    <w:lvl w:ilvl="0" w:tplc="CF2C48D0">
      <w:numFmt w:val="bullet"/>
      <w:lvlText w:val="-"/>
      <w:lvlJc w:val="left"/>
      <w:pPr>
        <w:ind w:left="90" w:hanging="360"/>
      </w:pPr>
      <w:rPr>
        <w:rFonts w:ascii="Calibri Light" w:eastAsiaTheme="minorHAnsi" w:hAnsi="Calibri Light" w:cs="Calibri Light" w:hint="default"/>
        <w:sz w:val="24"/>
      </w:rPr>
    </w:lvl>
    <w:lvl w:ilvl="1" w:tplc="CFFCA302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AFC7CC6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4601604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027CC8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A2D07A82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36889000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DE9CC652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CB4CE000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2712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0C"/>
    <w:rsid w:val="0001004E"/>
    <w:rsid w:val="000158C8"/>
    <w:rsid w:val="000217CC"/>
    <w:rsid w:val="000264BD"/>
    <w:rsid w:val="0003084E"/>
    <w:rsid w:val="000462A5"/>
    <w:rsid w:val="0005415E"/>
    <w:rsid w:val="0006434D"/>
    <w:rsid w:val="0008662B"/>
    <w:rsid w:val="000C4CFB"/>
    <w:rsid w:val="000C65E4"/>
    <w:rsid w:val="000C6E54"/>
    <w:rsid w:val="00104E14"/>
    <w:rsid w:val="0013613A"/>
    <w:rsid w:val="00155E82"/>
    <w:rsid w:val="00204864"/>
    <w:rsid w:val="0020503A"/>
    <w:rsid w:val="00217EC2"/>
    <w:rsid w:val="0024043F"/>
    <w:rsid w:val="00255358"/>
    <w:rsid w:val="00281725"/>
    <w:rsid w:val="00290B3A"/>
    <w:rsid w:val="002A518B"/>
    <w:rsid w:val="002B3477"/>
    <w:rsid w:val="002B5D1E"/>
    <w:rsid w:val="002C5D1D"/>
    <w:rsid w:val="002C6A41"/>
    <w:rsid w:val="002E2322"/>
    <w:rsid w:val="002F4315"/>
    <w:rsid w:val="003047A0"/>
    <w:rsid w:val="00312D05"/>
    <w:rsid w:val="00313BDC"/>
    <w:rsid w:val="00340B03"/>
    <w:rsid w:val="00344E40"/>
    <w:rsid w:val="0036044B"/>
    <w:rsid w:val="00385BFF"/>
    <w:rsid w:val="003861E4"/>
    <w:rsid w:val="00391034"/>
    <w:rsid w:val="00392248"/>
    <w:rsid w:val="003A74A3"/>
    <w:rsid w:val="003B187C"/>
    <w:rsid w:val="003B5D68"/>
    <w:rsid w:val="003D1247"/>
    <w:rsid w:val="003F0DAB"/>
    <w:rsid w:val="003F4D58"/>
    <w:rsid w:val="00403A1B"/>
    <w:rsid w:val="00423AF2"/>
    <w:rsid w:val="00427893"/>
    <w:rsid w:val="004404AE"/>
    <w:rsid w:val="00443DE8"/>
    <w:rsid w:val="0044752C"/>
    <w:rsid w:val="00455A33"/>
    <w:rsid w:val="00464FAE"/>
    <w:rsid w:val="00465D98"/>
    <w:rsid w:val="004A4C73"/>
    <w:rsid w:val="004A6E41"/>
    <w:rsid w:val="004B6940"/>
    <w:rsid w:val="004D5FF5"/>
    <w:rsid w:val="004E0459"/>
    <w:rsid w:val="004E4110"/>
    <w:rsid w:val="004F22BE"/>
    <w:rsid w:val="004F36FD"/>
    <w:rsid w:val="00510033"/>
    <w:rsid w:val="00527006"/>
    <w:rsid w:val="0053424B"/>
    <w:rsid w:val="005614E1"/>
    <w:rsid w:val="0058340C"/>
    <w:rsid w:val="00595BB8"/>
    <w:rsid w:val="005B1CBE"/>
    <w:rsid w:val="005C1ED4"/>
    <w:rsid w:val="005D3CD9"/>
    <w:rsid w:val="005E1319"/>
    <w:rsid w:val="005F65AB"/>
    <w:rsid w:val="00630DC7"/>
    <w:rsid w:val="00642296"/>
    <w:rsid w:val="0069439F"/>
    <w:rsid w:val="006B5871"/>
    <w:rsid w:val="006B69A2"/>
    <w:rsid w:val="006D6D1C"/>
    <w:rsid w:val="00707231"/>
    <w:rsid w:val="0071188C"/>
    <w:rsid w:val="007209A0"/>
    <w:rsid w:val="00745491"/>
    <w:rsid w:val="00747D95"/>
    <w:rsid w:val="00770D19"/>
    <w:rsid w:val="0077669A"/>
    <w:rsid w:val="00793DA8"/>
    <w:rsid w:val="007A019C"/>
    <w:rsid w:val="007A4084"/>
    <w:rsid w:val="007D5B55"/>
    <w:rsid w:val="007E667D"/>
    <w:rsid w:val="007F358B"/>
    <w:rsid w:val="0082250A"/>
    <w:rsid w:val="00865EF3"/>
    <w:rsid w:val="008820F2"/>
    <w:rsid w:val="008E0256"/>
    <w:rsid w:val="00902759"/>
    <w:rsid w:val="00910FAB"/>
    <w:rsid w:val="0091735A"/>
    <w:rsid w:val="009174BA"/>
    <w:rsid w:val="00927121"/>
    <w:rsid w:val="0094545A"/>
    <w:rsid w:val="00976C49"/>
    <w:rsid w:val="009904D7"/>
    <w:rsid w:val="009A3FBD"/>
    <w:rsid w:val="009B4B51"/>
    <w:rsid w:val="009D1086"/>
    <w:rsid w:val="009F7A8D"/>
    <w:rsid w:val="00A05B13"/>
    <w:rsid w:val="00A3125B"/>
    <w:rsid w:val="00A40CB7"/>
    <w:rsid w:val="00A77759"/>
    <w:rsid w:val="00A900A0"/>
    <w:rsid w:val="00AC0709"/>
    <w:rsid w:val="00AD1618"/>
    <w:rsid w:val="00AE5E40"/>
    <w:rsid w:val="00B43910"/>
    <w:rsid w:val="00B54696"/>
    <w:rsid w:val="00B64693"/>
    <w:rsid w:val="00B81056"/>
    <w:rsid w:val="00B873C5"/>
    <w:rsid w:val="00BB13F4"/>
    <w:rsid w:val="00BF255A"/>
    <w:rsid w:val="00BF49E6"/>
    <w:rsid w:val="00C03974"/>
    <w:rsid w:val="00C03F00"/>
    <w:rsid w:val="00C054B0"/>
    <w:rsid w:val="00C242A6"/>
    <w:rsid w:val="00C251F6"/>
    <w:rsid w:val="00C50BF5"/>
    <w:rsid w:val="00C559F3"/>
    <w:rsid w:val="00C9130A"/>
    <w:rsid w:val="00CA0817"/>
    <w:rsid w:val="00CB303C"/>
    <w:rsid w:val="00CD01EB"/>
    <w:rsid w:val="00D1542C"/>
    <w:rsid w:val="00D2410F"/>
    <w:rsid w:val="00D5587A"/>
    <w:rsid w:val="00D80A57"/>
    <w:rsid w:val="00DA7DB1"/>
    <w:rsid w:val="00DB029E"/>
    <w:rsid w:val="00DC77F8"/>
    <w:rsid w:val="00DD069E"/>
    <w:rsid w:val="00DD2A4B"/>
    <w:rsid w:val="00DF0FDB"/>
    <w:rsid w:val="00E11785"/>
    <w:rsid w:val="00E265CB"/>
    <w:rsid w:val="00E44BA4"/>
    <w:rsid w:val="00E62BDD"/>
    <w:rsid w:val="00E85955"/>
    <w:rsid w:val="00EA2E6D"/>
    <w:rsid w:val="00EB198C"/>
    <w:rsid w:val="00EB4563"/>
    <w:rsid w:val="00F15112"/>
    <w:rsid w:val="00F22B83"/>
    <w:rsid w:val="00F2454A"/>
    <w:rsid w:val="00F25E60"/>
    <w:rsid w:val="00F54DD0"/>
    <w:rsid w:val="00F7236A"/>
    <w:rsid w:val="00F83521"/>
    <w:rsid w:val="00F84745"/>
    <w:rsid w:val="00F84EF6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797"/>
  <w15:chartTrackingRefBased/>
  <w15:docId w15:val="{B6B876EA-23FD-4734-9B36-C837DDB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9E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8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C8"/>
    <w:rPr>
      <w:kern w:val="2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8C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E0256"/>
    <w:rPr>
      <w:i/>
      <w:iCs/>
    </w:rPr>
  </w:style>
  <w:style w:type="paragraph" w:styleId="Akapitzlist">
    <w:name w:val="List Paragraph"/>
    <w:basedOn w:val="Normalny"/>
    <w:uiPriority w:val="34"/>
    <w:qFormat/>
    <w:rsid w:val="00EB4563"/>
    <w:pPr>
      <w:ind w:left="720"/>
      <w:contextualSpacing/>
    </w:pPr>
  </w:style>
  <w:style w:type="character" w:customStyle="1" w:styleId="lewnzc">
    <w:name w:val="lewnzc"/>
    <w:basedOn w:val="Domylnaczcionkaakapitu"/>
    <w:rsid w:val="0044752C"/>
  </w:style>
  <w:style w:type="paragraph" w:styleId="Poprawka">
    <w:name w:val="Revision"/>
    <w:hidden/>
    <w:uiPriority w:val="99"/>
    <w:semiHidden/>
    <w:rsid w:val="006D6D1C"/>
    <w:pPr>
      <w:spacing w:after="0" w:line="240" w:lineRule="auto"/>
    </w:pPr>
    <w:rPr>
      <w:kern w:val="2"/>
      <w14:ligatures w14:val="standardContextual"/>
    </w:rPr>
  </w:style>
  <w:style w:type="character" w:customStyle="1" w:styleId="ui-provider">
    <w:name w:val="ui-provider"/>
    <w:basedOn w:val="Domylnaczcionkaakapitu"/>
    <w:rsid w:val="004A4C73"/>
  </w:style>
  <w:style w:type="paragraph" w:styleId="Stopka">
    <w:name w:val="footer"/>
    <w:basedOn w:val="Normalny"/>
    <w:link w:val="StopkaZnak"/>
    <w:uiPriority w:val="99"/>
    <w:unhideWhenUsed/>
    <w:rsid w:val="004A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C73"/>
    <w:rPr>
      <w:kern w:val="2"/>
      <w14:ligatures w14:val="standardContextual"/>
    </w:rPr>
  </w:style>
  <w:style w:type="paragraph" w:customStyle="1" w:styleId="BodyA">
    <w:name w:val="Body A"/>
    <w:rsid w:val="00B87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B873C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rmaltextrun">
    <w:name w:val="normaltextrun"/>
    <w:basedOn w:val="Domylnaczcionkaakapitu"/>
    <w:rsid w:val="00B873C5"/>
  </w:style>
  <w:style w:type="character" w:styleId="Pogrubienie">
    <w:name w:val="Strong"/>
    <w:basedOn w:val="Domylnaczcionkaakapitu"/>
    <w:uiPriority w:val="22"/>
    <w:qFormat/>
    <w:rsid w:val="00C03F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edzl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8E66-C400-4F25-89EA-A61E6B55C9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Andersone</dc:creator>
  <cp:lastModifiedBy>Noremberg, Robert</cp:lastModifiedBy>
  <cp:revision>17</cp:revision>
  <dcterms:created xsi:type="dcterms:W3CDTF">2024-05-22T14:42:00Z</dcterms:created>
  <dcterms:modified xsi:type="dcterms:W3CDTF">2024-05-22T15:56:00Z</dcterms:modified>
</cp:coreProperties>
</file>