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74B50DCD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Warszawa, </w:t>
      </w:r>
      <w:r w:rsidR="00705913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2</w:t>
      </w:r>
      <w:r w:rsidR="006E17E1">
        <w:rPr>
          <w:rFonts w:ascii="Tahoma" w:eastAsia="Tahoma" w:hAnsi="Tahoma" w:cs="Tahoma"/>
          <w:color w:val="808080" w:themeColor="background1" w:themeShade="80"/>
          <w:sz w:val="18"/>
          <w:szCs w:val="18"/>
        </w:rPr>
        <w:t>4</w:t>
      </w:r>
      <w:r w:rsidR="00705913">
        <w:rPr>
          <w:rFonts w:ascii="Tahoma" w:eastAsia="Tahoma" w:hAnsi="Tahoma" w:cs="Tahoma"/>
          <w:color w:val="808080" w:themeColor="background1" w:themeShade="80"/>
          <w:sz w:val="18"/>
          <w:szCs w:val="18"/>
        </w:rPr>
        <w:t xml:space="preserve"> maja </w:t>
      </w:r>
      <w:r w:rsidR="00765ED2"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>2024</w:t>
      </w:r>
      <w:r w:rsidRPr="00D904BF">
        <w:rPr>
          <w:rFonts w:ascii="Tahoma" w:eastAsia="Tahoma" w:hAnsi="Tahoma" w:cs="Tahoma"/>
          <w:color w:val="808080" w:themeColor="background1" w:themeShade="80"/>
          <w:sz w:val="18"/>
          <w:szCs w:val="18"/>
          <w:highlight w:val="white"/>
        </w:rPr>
        <w:t xml:space="preserve"> r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>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77C79CC4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70591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S12</w:t>
            </w:r>
            <w:r w:rsidR="00E61EA9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#drogi</w:t>
            </w:r>
            <w:r w:rsidR="00784C6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705913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#Łódź </w:t>
            </w:r>
          </w:p>
          <w:p w14:paraId="6DEFB41E" w14:textId="53FDDAF0" w:rsidR="00705913" w:rsidRPr="00705913" w:rsidRDefault="00E61EA9" w:rsidP="0070591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bookmarkStart w:id="1" w:name="_Hlk167374105"/>
            <w:r w:rsidRPr="00E61EA9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</w:t>
            </w:r>
            <w:r w:rsidR="007059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z umową na 367</w:t>
            </w:r>
            <w:r w:rsidR="00705913" w:rsidRPr="007059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,5 mln</w:t>
            </w:r>
            <w:r w:rsidR="00802E2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netto</w:t>
            </w:r>
            <w:r w:rsidR="007059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na budowę</w:t>
            </w:r>
            <w:r w:rsidR="00705913" w:rsidRPr="007059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176F9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nowego</w:t>
            </w:r>
            <w:r w:rsidR="00CB32F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odcinka </w:t>
            </w:r>
            <w:r w:rsidR="00705913" w:rsidRPr="00705913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drogi ekspresowej S12</w:t>
            </w:r>
            <w:r w:rsidR="00CB32F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2E7B2C8A" w14:textId="1D994889" w:rsidR="00F633B3" w:rsidRPr="00AD5313" w:rsidRDefault="00CB32F7" w:rsidP="00F633B3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E61EA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</w:t>
            </w:r>
            <w:r w:rsid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x podpisał z</w:t>
            </w:r>
            <w:r w:rsidR="00176F9F">
              <w:t xml:space="preserve"> </w:t>
            </w:r>
            <w:r w:rsidR="00EE0A9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Generalną</w:t>
            </w:r>
            <w:r w:rsidR="00176F9F" w:rsidRP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Dyrekcją Dróg Krajowych i Autostrad Oddział w Łodzi umowę na wykonanie</w:t>
            </w:r>
            <w:r w:rsid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76F9F" w:rsidRP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‎</w:t>
            </w:r>
            <w:r w:rsidR="00007DC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</w:t>
            </w:r>
            <w:r w:rsidR="00176F9F" w:rsidRPr="00176F9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rojektu </w:t>
            </w:r>
            <w:r w:rsidR="00924CE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 budowy drogi ekspresowej S12.</w:t>
            </w:r>
            <w:r w:rsidR="00007DC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C579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ramach kontraktu</w:t>
            </w:r>
            <w:r w:rsidR="00007DC3" w:rsidRPr="00007DC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C579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zbudowany zostanie odcinek o długości</w:t>
            </w:r>
            <w:r w:rsidR="00C57999" w:rsidRPr="00C579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FE237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14,4 km</w:t>
            </w:r>
            <w:r w:rsidR="00C579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od granicy wo</w:t>
            </w:r>
            <w:r w:rsidR="00EE0A9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jewództwa łódzkiego do </w:t>
            </w:r>
            <w:r w:rsidR="00D2789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węzła </w:t>
            </w:r>
            <w:r w:rsidR="00EE0A9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Przysuch</w:t>
            </w:r>
            <w:r w:rsidR="00802E2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a</w:t>
            </w:r>
            <w:r w:rsidR="00C5799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CC7221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F633B3" w:rsidRPr="00AD531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</w:t>
            </w:r>
            <w:r w:rsidR="00F633B3" w:rsidRPr="00AD531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ealizacja</w:t>
            </w:r>
            <w:r w:rsidR="00F633B3" w:rsidRPr="00AD531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całej inwestycji</w:t>
            </w:r>
            <w:r w:rsidR="00F633B3" w:rsidRPr="00AD531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zaplanowana jest na 43 miesiące</w:t>
            </w:r>
            <w:r w:rsidR="00AD531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(bez okresów zimowych).</w:t>
            </w:r>
          </w:p>
          <w:p w14:paraId="6FD2C2B2" w14:textId="61648D47" w:rsidR="00574B62" w:rsidRDefault="00574B62" w:rsidP="00D25F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74B62">
              <w:rPr>
                <w:rFonts w:ascii="Tahoma" w:eastAsia="Tahoma" w:hAnsi="Tahoma" w:cs="Tahoma"/>
                <w:color w:val="747678"/>
                <w:sz w:val="18"/>
                <w:szCs w:val="18"/>
              </w:rPr>
              <w:t>Droga ekspresowa S12 biegnąca z województwa łódzkiego przez południowe Mazowsze w kierunku Lubelszczyzny, będzie posiadała dwie jezdnie o dwóch pasach ruchu w każdym kierunku.</w:t>
            </w:r>
            <w:r w:rsidR="00AA736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0117C" w:rsidRPr="0000117C">
              <w:rPr>
                <w:rFonts w:ascii="Tahoma" w:eastAsia="Tahoma" w:hAnsi="Tahoma" w:cs="Tahoma"/>
                <w:color w:val="747678"/>
                <w:sz w:val="18"/>
                <w:szCs w:val="18"/>
              </w:rPr>
              <w:t>Podpisany odcinek</w:t>
            </w:r>
            <w:r w:rsidR="00B51F1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B51F1F" w:rsidRPr="00B51F1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od granicy ‎woj. łódzkiego do węzła Przysucha </w:t>
            </w:r>
            <w:r w:rsidR="0000117C" w:rsidRPr="0000117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to fragment </w:t>
            </w:r>
            <w:r w:rsidR="0000117C">
              <w:rPr>
                <w:rFonts w:ascii="Tahoma" w:eastAsia="Tahoma" w:hAnsi="Tahoma" w:cs="Tahoma"/>
                <w:color w:val="747678"/>
                <w:sz w:val="18"/>
                <w:szCs w:val="18"/>
              </w:rPr>
              <w:t>trasy</w:t>
            </w:r>
            <w:r w:rsidR="00E3268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</w:t>
            </w:r>
            <w:r w:rsidR="00E3268F" w:rsidRPr="00E3268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która docelowo ma połączyć autostradę A1 pod Piotrkowem Trybunalskim z drogą </w:t>
            </w:r>
            <w:r w:rsidR="00E3268F">
              <w:rPr>
                <w:rFonts w:ascii="Tahoma" w:eastAsia="Tahoma" w:hAnsi="Tahoma" w:cs="Tahoma"/>
                <w:color w:val="747678"/>
                <w:sz w:val="18"/>
                <w:szCs w:val="18"/>
              </w:rPr>
              <w:t>ekspresowa S12 w woj. Lubelskim.</w:t>
            </w:r>
            <w:r w:rsidR="0000117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D01611">
              <w:rPr>
                <w:rFonts w:ascii="Tahoma" w:eastAsia="Tahoma" w:hAnsi="Tahoma" w:cs="Tahoma"/>
                <w:color w:val="747678"/>
                <w:sz w:val="18"/>
                <w:szCs w:val="18"/>
              </w:rPr>
              <w:t>W</w:t>
            </w:r>
            <w:r w:rsidR="002D171B" w:rsidRPr="002D171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przyszłości </w:t>
            </w:r>
            <w:r w:rsidR="00B2564F">
              <w:rPr>
                <w:rFonts w:ascii="Tahoma" w:eastAsia="Tahoma" w:hAnsi="Tahoma" w:cs="Tahoma"/>
                <w:color w:val="747678"/>
                <w:sz w:val="18"/>
                <w:szCs w:val="18"/>
              </w:rPr>
              <w:t>ma</w:t>
            </w:r>
            <w:r w:rsidR="000319D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ona</w:t>
            </w:r>
            <w:r w:rsidR="00B2564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2D171B" w:rsidRPr="002D171B">
              <w:rPr>
                <w:rFonts w:ascii="Tahoma" w:eastAsia="Tahoma" w:hAnsi="Tahoma" w:cs="Tahoma"/>
                <w:color w:val="747678"/>
                <w:sz w:val="18"/>
                <w:szCs w:val="18"/>
              </w:rPr>
              <w:t>zapewnić szybkie, sprawne i bezpieczne połączenie centrum Polski z Lubelszczyzn</w:t>
            </w:r>
            <w:r w:rsidR="00F14511">
              <w:rPr>
                <w:rFonts w:ascii="Tahoma" w:eastAsia="Tahoma" w:hAnsi="Tahoma" w:cs="Tahoma"/>
                <w:color w:val="747678"/>
                <w:sz w:val="18"/>
                <w:szCs w:val="18"/>
              </w:rPr>
              <w:t>ą oraz wschodnią granicą kraju.</w:t>
            </w:r>
          </w:p>
          <w:p w14:paraId="7424C274" w14:textId="19F91C19" w:rsidR="0051781C" w:rsidRDefault="0051781C" w:rsidP="00D25F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781C">
              <w:rPr>
                <w:rFonts w:ascii="Tahoma" w:eastAsia="Tahoma" w:hAnsi="Tahoma" w:cs="Tahoma"/>
                <w:color w:val="747678"/>
                <w:sz w:val="18"/>
                <w:szCs w:val="18"/>
              </w:rPr>
              <w:t>Nowa droga od granicy województwa łódzkiego i mazowieckiego będzie omijać od strony południowej Gielniów, Goździków oraz</w:t>
            </w:r>
            <w:r w:rsidR="00B2564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szereg mniejszych miejscowości. </w:t>
            </w:r>
            <w:r w:rsidR="0055740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Docelowo będzie przechodzić </w:t>
            </w:r>
            <w:r w:rsidRPr="0051781C">
              <w:rPr>
                <w:rFonts w:ascii="Tahoma" w:eastAsia="Tahoma" w:hAnsi="Tahoma" w:cs="Tahoma"/>
                <w:color w:val="747678"/>
                <w:sz w:val="18"/>
                <w:szCs w:val="18"/>
              </w:rPr>
              <w:t>od strony północnej obok miejscowości Przysucha wyprowadzając ruch tranzytowy z mi</w:t>
            </w:r>
            <w:r w:rsidR="00953FC3">
              <w:rPr>
                <w:rFonts w:ascii="Tahoma" w:eastAsia="Tahoma" w:hAnsi="Tahoma" w:cs="Tahoma"/>
                <w:color w:val="747678"/>
                <w:sz w:val="18"/>
                <w:szCs w:val="18"/>
              </w:rPr>
              <w:t>ast</w:t>
            </w:r>
            <w:r w:rsidR="00210C9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, przez które przebiega droga </w:t>
            </w:r>
            <w:r w:rsidRPr="0051781C">
              <w:rPr>
                <w:rFonts w:ascii="Tahoma" w:eastAsia="Tahoma" w:hAnsi="Tahoma" w:cs="Tahoma"/>
                <w:color w:val="747678"/>
                <w:sz w:val="18"/>
                <w:szCs w:val="18"/>
              </w:rPr>
              <w:t>DK12</w:t>
            </w:r>
            <w:r w:rsidR="00557403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04B7B231" w14:textId="1C024D52" w:rsidR="00283136" w:rsidRPr="00E16A16" w:rsidRDefault="006E17E1" w:rsidP="00D25F0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A678F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Pierwszy </w:t>
            </w:r>
            <w:r w:rsidR="00F1451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odcinek drogi ekspresowej</w:t>
            </w:r>
            <w:r w:rsidR="00B31443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S12</w:t>
            </w:r>
            <w:r w:rsidR="00F1451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 ist</w:t>
            </w:r>
            <w:r w:rsidR="00BF26B8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otny</w:t>
            </w:r>
            <w:r w:rsidR="0073224F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F1451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dla polskiej</w:t>
            </w:r>
            <w:r w:rsidR="00E00EE2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gospodarki</w:t>
            </w:r>
            <w:r w:rsidR="00F1451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i lokalnej społeczności, zostanie wybudowany przez Bud</w:t>
            </w:r>
            <w:r w:rsidR="0073224F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imex. Odci</w:t>
            </w:r>
            <w:r w:rsidR="00F21015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nek będzie częścią trasy, która w przyszłości</w:t>
            </w:r>
            <w:r w:rsidR="00EE054D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ułatwi</w:t>
            </w:r>
            <w:r w:rsidR="00F14511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podróż między zachodnią a wschodnią granicą Polski.</w:t>
            </w:r>
            <w:r w:rsidR="00EE054D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AD531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</w:t>
            </w:r>
            <w:r w:rsidR="00C36616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iemy, </w:t>
            </w:r>
            <w:r w:rsidR="00AD531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ż</w:t>
            </w:r>
            <w:r w:rsidR="00C36616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e to ważny projekt, a n</w:t>
            </w:r>
            <w:r w:rsidR="00EE054D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asze infrastrukturalne know-how pozwala realizować takie zadania zg</w:t>
            </w:r>
            <w:r w:rsidR="00301A0B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odnie z najwyższymi standardami</w:t>
            </w:r>
            <w:r w:rsidR="00283136" w:rsidRPr="00E16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28313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– </w:t>
            </w:r>
            <w:r w:rsidR="00F633B3" w:rsidRPr="006E17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powiedział Dariusz Demianiuk, Dyrektor Rejonu</w:t>
            </w:r>
            <w:r w:rsidRPr="006E17E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Budimex SA.</w:t>
            </w:r>
          </w:p>
          <w:p w14:paraId="3B8600FC" w14:textId="323058BA" w:rsidR="0096576B" w:rsidRDefault="000C3CEE" w:rsidP="0096576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C3CEE">
              <w:rPr>
                <w:rFonts w:ascii="Tahoma" w:eastAsia="Tahoma" w:hAnsi="Tahoma" w:cs="Tahoma"/>
                <w:color w:val="747678"/>
                <w:sz w:val="18"/>
                <w:szCs w:val="18"/>
              </w:rPr>
              <w:t>W ramach kontraktu Budimex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wybuduje </w:t>
            </w:r>
            <w:r w:rsidR="00C75EA7">
              <w:rPr>
                <w:rFonts w:ascii="Tahoma" w:eastAsia="Tahoma" w:hAnsi="Tahoma" w:cs="Tahoma"/>
                <w:color w:val="747678"/>
                <w:sz w:val="18"/>
                <w:szCs w:val="18"/>
              </w:rPr>
              <w:t>w</w:t>
            </w:r>
            <w:r w:rsidRPr="000C3CE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ęzeł Gielniów na skrzyżowaniu drogi krajowej nr 12 oraz drogi wojewódzkiej 728, 23 obiekty inżynierskie takie jak mosty, wiadukty oraz przejścia dla zwierząt, przebudowie ulegną </w:t>
            </w:r>
            <w:r w:rsidR="00332A8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także </w:t>
            </w:r>
            <w:r w:rsidRPr="000C3CEE">
              <w:rPr>
                <w:rFonts w:ascii="Tahoma" w:eastAsia="Tahoma" w:hAnsi="Tahoma" w:cs="Tahoma"/>
                <w:color w:val="747678"/>
                <w:sz w:val="18"/>
                <w:szCs w:val="18"/>
              </w:rPr>
              <w:t>drogi gminne oraz</w:t>
            </w:r>
            <w:r w:rsidR="00332A8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infrastruktura dla pieszych i rowerzystów.</w:t>
            </w:r>
            <w:r w:rsidR="00A32BA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A32BAB" w:rsidRPr="00A32BAB">
              <w:rPr>
                <w:rFonts w:ascii="Tahoma" w:eastAsia="Tahoma" w:hAnsi="Tahoma" w:cs="Tahoma"/>
                <w:color w:val="747678"/>
                <w:sz w:val="18"/>
                <w:szCs w:val="18"/>
              </w:rPr>
              <w:t>Wartość całej inwesty</w:t>
            </w:r>
            <w:r w:rsidR="0096576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cji to </w:t>
            </w:r>
            <w:r w:rsidR="00892A46">
              <w:rPr>
                <w:rFonts w:ascii="Tahoma" w:eastAsia="Tahoma" w:hAnsi="Tahoma" w:cs="Tahoma"/>
                <w:color w:val="747678"/>
                <w:sz w:val="18"/>
                <w:szCs w:val="18"/>
              </w:rPr>
              <w:t>367,5 mln netto</w:t>
            </w:r>
            <w:r w:rsidR="0096576B">
              <w:rPr>
                <w:rFonts w:ascii="Tahoma" w:eastAsia="Tahoma" w:hAnsi="Tahoma" w:cs="Tahoma"/>
                <w:color w:val="747678"/>
                <w:sz w:val="18"/>
                <w:szCs w:val="18"/>
              </w:rPr>
              <w:t>, a termin realizacji zaplanowany</w:t>
            </w:r>
            <w:r w:rsidR="00A32BAB" w:rsidRPr="00A32BA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jest na 43 miesiące</w:t>
            </w:r>
            <w:r w:rsidR="00A32BA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 momentu podpisania umowy</w:t>
            </w:r>
            <w:r w:rsidR="00A32BAB" w:rsidRPr="00A32BAB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="00BF26B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Do czasu realizacji r</w:t>
            </w:r>
            <w:r w:rsidR="00BF26B8" w:rsidRPr="00BF26B8">
              <w:rPr>
                <w:rFonts w:ascii="Tahoma" w:eastAsia="Tahoma" w:hAnsi="Tahoma" w:cs="Tahoma"/>
                <w:color w:val="747678"/>
                <w:sz w:val="18"/>
                <w:szCs w:val="18"/>
              </w:rPr>
              <w:t>obót nie wlicza się okresów zimowych (tj. od 16 grudnia do 15 marca). ‎</w:t>
            </w:r>
          </w:p>
          <w:bookmarkEnd w:id="1"/>
          <w:p w14:paraId="0F385479" w14:textId="07A53472" w:rsidR="00EE0A96" w:rsidRPr="00E61EA9" w:rsidRDefault="0096576B" w:rsidP="00E61EA9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4571FF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 xml:space="preserve">Budimex to jeden w największych w Polsce generalnych wykonawców dróg i autostrad. Od ponad dwóch dekad firma buduje rocznie kilkaset kilometrów </w:t>
            </w:r>
            <w:r w:rsidR="00EE0A96">
              <w:rPr>
                <w:rFonts w:ascii="Tahoma" w:eastAsia="Tahoma" w:hAnsi="Tahoma" w:cs="Tahoma"/>
                <w:color w:val="747678"/>
                <w:sz w:val="18"/>
                <w:szCs w:val="18"/>
              </w:rPr>
              <w:t>autostrad, dróg ekspresowych, lokalnych i obwodnic.</w:t>
            </w:r>
          </w:p>
          <w:p w14:paraId="5AF6C2FD" w14:textId="77777777" w:rsidR="00892A46" w:rsidRPr="00892A46" w:rsidRDefault="00892A46" w:rsidP="00892A46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892A46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892A46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jest spółką z ponad pięćdziesięcioletnią tradycją, która ma znaczący udział w rozwoju gospodarczym Polski. W okresie ponad 50 lat istnienia firmy zrealizowaliśmy tysiące nowoczesnych inwestycji infrastrukturalnych, kubaturowych i przemysłowych. Kultura innowacyjności, doskonalenie i kierowanie się zasadami zrównoważonego rozwoju pozwoliły firmie zdobyć pozycję lidera polskiego rynku budowlanego. Jest obecna nie tylko na rynku polskim, ale też zagranicznym: słowackim, czeskim, niemieckim i łotewskim. Budimex działa aktywnie także na rynkach: OZE, elektromobilności, gospodarki odpadami, utrzymaniem dróg i nieruchomości oraz elektromobilności. Od 1995 roku Grupa Budimex notowana jest na warszawskiej GPW. Od 2011 roku wchodzi w skład indeksu najbardziej odpowiedzialnych spółek giełdowych. W 2024 roku firma weszła do indeksu WIG-20 – największych spółek giełdowych. Jej inwestorem strategicznym jest hiszpańska firma o globalnym zasięgu – Ferrovial. W skład grupy wchodzą m.in: Mostostal Kraków, FBSerwis, BXF Energia, Budimex Kolejnictwo, Budimex Mobility.</w:t>
            </w:r>
          </w:p>
          <w:p w14:paraId="47A33B34" w14:textId="77777777" w:rsidR="00892A46" w:rsidRDefault="00892A46" w:rsidP="00892A46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  <w:r w:rsidRPr="00892A46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892A46">
                <w:rPr>
                  <w:rFonts w:ascii="Tahoma" w:eastAsia="Tahoma" w:hAnsi="Tahoma" w:cs="Tahoma"/>
                  <w:iCs/>
                  <w:color w:val="0070C0"/>
                  <w:sz w:val="16"/>
                  <w:szCs w:val="16"/>
                </w:rPr>
                <w:t>www.budimex.pl</w:t>
              </w:r>
            </w:hyperlink>
          </w:p>
          <w:p w14:paraId="3FCF70C1" w14:textId="77777777" w:rsidR="00892A46" w:rsidRDefault="00892A46" w:rsidP="00892A46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</w:p>
          <w:p w14:paraId="39023F85" w14:textId="77777777" w:rsidR="00892A46" w:rsidRDefault="00892A46" w:rsidP="00892A46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</w:p>
          <w:p w14:paraId="08A7910A" w14:textId="77777777" w:rsidR="00892A46" w:rsidRPr="00892A46" w:rsidRDefault="00892A46" w:rsidP="00892A46">
            <w:pPr>
              <w:ind w:right="1"/>
              <w:jc w:val="both"/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</w:pPr>
          </w:p>
          <w:p w14:paraId="3F31773A" w14:textId="002AC3E2" w:rsidR="00892A46" w:rsidRDefault="00892A46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000000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000000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B528" w14:textId="77777777" w:rsidR="00FA6199" w:rsidRDefault="00FA6199">
      <w:pPr>
        <w:spacing w:after="0" w:line="240" w:lineRule="auto"/>
      </w:pPr>
      <w:r>
        <w:separator/>
      </w:r>
    </w:p>
  </w:endnote>
  <w:endnote w:type="continuationSeparator" w:id="0">
    <w:p w14:paraId="2CF79065" w14:textId="77777777" w:rsidR="00FA6199" w:rsidRDefault="00FA6199">
      <w:pPr>
        <w:spacing w:after="0" w:line="240" w:lineRule="auto"/>
      </w:pPr>
      <w:r>
        <w:continuationSeparator/>
      </w:r>
    </w:p>
  </w:endnote>
  <w:endnote w:type="continuationNotice" w:id="1">
    <w:p w14:paraId="1DC5E1B4" w14:textId="77777777" w:rsidR="00FA6199" w:rsidRDefault="00FA6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F74" w14:textId="77777777" w:rsidR="00FA6199" w:rsidRDefault="00FA6199">
      <w:pPr>
        <w:spacing w:after="0" w:line="240" w:lineRule="auto"/>
      </w:pPr>
      <w:r>
        <w:separator/>
      </w:r>
    </w:p>
  </w:footnote>
  <w:footnote w:type="continuationSeparator" w:id="0">
    <w:p w14:paraId="5259F60F" w14:textId="77777777" w:rsidR="00FA6199" w:rsidRDefault="00FA6199">
      <w:pPr>
        <w:spacing w:after="0" w:line="240" w:lineRule="auto"/>
      </w:pPr>
      <w:r>
        <w:continuationSeparator/>
      </w:r>
    </w:p>
  </w:footnote>
  <w:footnote w:type="continuationNotice" w:id="1">
    <w:p w14:paraId="4C982BE3" w14:textId="77777777" w:rsidR="00FA6199" w:rsidRDefault="00FA6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9551829">
    <w:abstractNumId w:val="2"/>
  </w:num>
  <w:num w:numId="2" w16cid:durableId="1388803500">
    <w:abstractNumId w:val="3"/>
  </w:num>
  <w:num w:numId="3" w16cid:durableId="1567759506">
    <w:abstractNumId w:val="1"/>
  </w:num>
  <w:num w:numId="4" w16cid:durableId="139993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117C"/>
    <w:rsid w:val="00007DC3"/>
    <w:rsid w:val="00011E5A"/>
    <w:rsid w:val="00020BE6"/>
    <w:rsid w:val="00025792"/>
    <w:rsid w:val="000319D2"/>
    <w:rsid w:val="00044F06"/>
    <w:rsid w:val="00045270"/>
    <w:rsid w:val="0005467F"/>
    <w:rsid w:val="00064B00"/>
    <w:rsid w:val="00065284"/>
    <w:rsid w:val="00071D13"/>
    <w:rsid w:val="00075A5D"/>
    <w:rsid w:val="00082951"/>
    <w:rsid w:val="000851A2"/>
    <w:rsid w:val="00087DBB"/>
    <w:rsid w:val="000B1755"/>
    <w:rsid w:val="000C3CEE"/>
    <w:rsid w:val="000D15EA"/>
    <w:rsid w:val="000D3B26"/>
    <w:rsid w:val="000E1B21"/>
    <w:rsid w:val="000E432E"/>
    <w:rsid w:val="000F508D"/>
    <w:rsid w:val="0011247D"/>
    <w:rsid w:val="00116246"/>
    <w:rsid w:val="00125D50"/>
    <w:rsid w:val="001560B3"/>
    <w:rsid w:val="00160847"/>
    <w:rsid w:val="00170C68"/>
    <w:rsid w:val="00172D1D"/>
    <w:rsid w:val="001746AB"/>
    <w:rsid w:val="00176F9F"/>
    <w:rsid w:val="0018791B"/>
    <w:rsid w:val="00192890"/>
    <w:rsid w:val="00195F51"/>
    <w:rsid w:val="001C6FB2"/>
    <w:rsid w:val="001C765C"/>
    <w:rsid w:val="001E0BD0"/>
    <w:rsid w:val="001E2A10"/>
    <w:rsid w:val="001E3510"/>
    <w:rsid w:val="001E6BFA"/>
    <w:rsid w:val="001F0F39"/>
    <w:rsid w:val="001F5C15"/>
    <w:rsid w:val="001F67DB"/>
    <w:rsid w:val="00203086"/>
    <w:rsid w:val="00206E7C"/>
    <w:rsid w:val="00210C99"/>
    <w:rsid w:val="0022476C"/>
    <w:rsid w:val="002342F3"/>
    <w:rsid w:val="00237B08"/>
    <w:rsid w:val="002541C4"/>
    <w:rsid w:val="00270CBF"/>
    <w:rsid w:val="0027391F"/>
    <w:rsid w:val="002812E2"/>
    <w:rsid w:val="00283136"/>
    <w:rsid w:val="00285560"/>
    <w:rsid w:val="002911B6"/>
    <w:rsid w:val="002B0328"/>
    <w:rsid w:val="002B54EC"/>
    <w:rsid w:val="002D171B"/>
    <w:rsid w:val="002E34D2"/>
    <w:rsid w:val="002E37BE"/>
    <w:rsid w:val="002E64DC"/>
    <w:rsid w:val="002F1071"/>
    <w:rsid w:val="002F7E36"/>
    <w:rsid w:val="00300CAB"/>
    <w:rsid w:val="00301A0B"/>
    <w:rsid w:val="00306EA5"/>
    <w:rsid w:val="00307758"/>
    <w:rsid w:val="0032269D"/>
    <w:rsid w:val="00326F2D"/>
    <w:rsid w:val="0033021A"/>
    <w:rsid w:val="00332A87"/>
    <w:rsid w:val="00343058"/>
    <w:rsid w:val="00343C19"/>
    <w:rsid w:val="00360101"/>
    <w:rsid w:val="00365D17"/>
    <w:rsid w:val="00382064"/>
    <w:rsid w:val="003841EF"/>
    <w:rsid w:val="00391521"/>
    <w:rsid w:val="00395463"/>
    <w:rsid w:val="00396AA9"/>
    <w:rsid w:val="003A4D98"/>
    <w:rsid w:val="003B1DAE"/>
    <w:rsid w:val="003B4DB0"/>
    <w:rsid w:val="003C5333"/>
    <w:rsid w:val="003E60B7"/>
    <w:rsid w:val="003E7AC4"/>
    <w:rsid w:val="00401DF0"/>
    <w:rsid w:val="00412DDB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5AE9"/>
    <w:rsid w:val="004A6EE5"/>
    <w:rsid w:val="004B3484"/>
    <w:rsid w:val="004B36C2"/>
    <w:rsid w:val="004B6F46"/>
    <w:rsid w:val="004D23DB"/>
    <w:rsid w:val="004D2CB9"/>
    <w:rsid w:val="004E13B4"/>
    <w:rsid w:val="004E4796"/>
    <w:rsid w:val="004F241E"/>
    <w:rsid w:val="004F7FD5"/>
    <w:rsid w:val="0050639D"/>
    <w:rsid w:val="0051781C"/>
    <w:rsid w:val="005234C8"/>
    <w:rsid w:val="0054395F"/>
    <w:rsid w:val="00557403"/>
    <w:rsid w:val="005600F3"/>
    <w:rsid w:val="005726F4"/>
    <w:rsid w:val="00574B62"/>
    <w:rsid w:val="00581480"/>
    <w:rsid w:val="00597E08"/>
    <w:rsid w:val="005C554C"/>
    <w:rsid w:val="005C7B13"/>
    <w:rsid w:val="005D7BA2"/>
    <w:rsid w:val="005E5391"/>
    <w:rsid w:val="005E6E83"/>
    <w:rsid w:val="00602232"/>
    <w:rsid w:val="00617FB9"/>
    <w:rsid w:val="00621025"/>
    <w:rsid w:val="006230EB"/>
    <w:rsid w:val="00624B30"/>
    <w:rsid w:val="00646A33"/>
    <w:rsid w:val="006624BA"/>
    <w:rsid w:val="00664B42"/>
    <w:rsid w:val="006774E1"/>
    <w:rsid w:val="00683A00"/>
    <w:rsid w:val="006944A4"/>
    <w:rsid w:val="006965CF"/>
    <w:rsid w:val="006B23E5"/>
    <w:rsid w:val="006D5AFF"/>
    <w:rsid w:val="006D73FE"/>
    <w:rsid w:val="006E17E1"/>
    <w:rsid w:val="006E71FA"/>
    <w:rsid w:val="00703AE3"/>
    <w:rsid w:val="00705913"/>
    <w:rsid w:val="0073224F"/>
    <w:rsid w:val="00733A2E"/>
    <w:rsid w:val="00734D0A"/>
    <w:rsid w:val="00737601"/>
    <w:rsid w:val="00745D86"/>
    <w:rsid w:val="00753410"/>
    <w:rsid w:val="007552A7"/>
    <w:rsid w:val="007619F3"/>
    <w:rsid w:val="00764B40"/>
    <w:rsid w:val="00765ED2"/>
    <w:rsid w:val="00776112"/>
    <w:rsid w:val="00784C66"/>
    <w:rsid w:val="007866B6"/>
    <w:rsid w:val="0079464C"/>
    <w:rsid w:val="007A0CF3"/>
    <w:rsid w:val="007A3907"/>
    <w:rsid w:val="007B1336"/>
    <w:rsid w:val="007C1E2F"/>
    <w:rsid w:val="007C63DE"/>
    <w:rsid w:val="007C6A6A"/>
    <w:rsid w:val="00800D2C"/>
    <w:rsid w:val="00802E27"/>
    <w:rsid w:val="008121D0"/>
    <w:rsid w:val="00815A09"/>
    <w:rsid w:val="00815B55"/>
    <w:rsid w:val="00821277"/>
    <w:rsid w:val="00821D89"/>
    <w:rsid w:val="008363EC"/>
    <w:rsid w:val="00842CA6"/>
    <w:rsid w:val="00845EC4"/>
    <w:rsid w:val="008528AF"/>
    <w:rsid w:val="00862E0C"/>
    <w:rsid w:val="008745A4"/>
    <w:rsid w:val="00876DE2"/>
    <w:rsid w:val="008805C6"/>
    <w:rsid w:val="00885B0E"/>
    <w:rsid w:val="008878AB"/>
    <w:rsid w:val="00892A46"/>
    <w:rsid w:val="008A1719"/>
    <w:rsid w:val="008A79BD"/>
    <w:rsid w:val="008B2324"/>
    <w:rsid w:val="008B7319"/>
    <w:rsid w:val="008D2B88"/>
    <w:rsid w:val="00910344"/>
    <w:rsid w:val="00910B91"/>
    <w:rsid w:val="00914DFD"/>
    <w:rsid w:val="009202BE"/>
    <w:rsid w:val="00924CE5"/>
    <w:rsid w:val="009259BC"/>
    <w:rsid w:val="00930A84"/>
    <w:rsid w:val="0094259B"/>
    <w:rsid w:val="009462D1"/>
    <w:rsid w:val="00952E46"/>
    <w:rsid w:val="00953FC3"/>
    <w:rsid w:val="0096576B"/>
    <w:rsid w:val="00984ECE"/>
    <w:rsid w:val="00994841"/>
    <w:rsid w:val="009967C2"/>
    <w:rsid w:val="009A2909"/>
    <w:rsid w:val="009B1449"/>
    <w:rsid w:val="009C518E"/>
    <w:rsid w:val="009D43F4"/>
    <w:rsid w:val="009D5FA8"/>
    <w:rsid w:val="009D7093"/>
    <w:rsid w:val="009E3AFD"/>
    <w:rsid w:val="00A018D7"/>
    <w:rsid w:val="00A058C5"/>
    <w:rsid w:val="00A132E1"/>
    <w:rsid w:val="00A32BAB"/>
    <w:rsid w:val="00A4491D"/>
    <w:rsid w:val="00A47FE7"/>
    <w:rsid w:val="00A51B54"/>
    <w:rsid w:val="00A678F1"/>
    <w:rsid w:val="00A751EB"/>
    <w:rsid w:val="00A90CED"/>
    <w:rsid w:val="00A96F60"/>
    <w:rsid w:val="00AA0DAA"/>
    <w:rsid w:val="00AA2306"/>
    <w:rsid w:val="00AA7361"/>
    <w:rsid w:val="00AB13B2"/>
    <w:rsid w:val="00AB41A5"/>
    <w:rsid w:val="00AB44C1"/>
    <w:rsid w:val="00AB506C"/>
    <w:rsid w:val="00AC6F57"/>
    <w:rsid w:val="00AD373B"/>
    <w:rsid w:val="00AD5313"/>
    <w:rsid w:val="00AD6A2F"/>
    <w:rsid w:val="00AE0702"/>
    <w:rsid w:val="00AE517C"/>
    <w:rsid w:val="00AF57C6"/>
    <w:rsid w:val="00AF7CB0"/>
    <w:rsid w:val="00B01620"/>
    <w:rsid w:val="00B03D54"/>
    <w:rsid w:val="00B05C4A"/>
    <w:rsid w:val="00B070DA"/>
    <w:rsid w:val="00B12F71"/>
    <w:rsid w:val="00B13BDE"/>
    <w:rsid w:val="00B16C39"/>
    <w:rsid w:val="00B202B8"/>
    <w:rsid w:val="00B2564F"/>
    <w:rsid w:val="00B267EF"/>
    <w:rsid w:val="00B31443"/>
    <w:rsid w:val="00B32947"/>
    <w:rsid w:val="00B4542F"/>
    <w:rsid w:val="00B456AB"/>
    <w:rsid w:val="00B46EF9"/>
    <w:rsid w:val="00B51F1F"/>
    <w:rsid w:val="00B53875"/>
    <w:rsid w:val="00B54304"/>
    <w:rsid w:val="00B55183"/>
    <w:rsid w:val="00B558B8"/>
    <w:rsid w:val="00B57EEC"/>
    <w:rsid w:val="00B64BF4"/>
    <w:rsid w:val="00B738C4"/>
    <w:rsid w:val="00B87263"/>
    <w:rsid w:val="00BA7C09"/>
    <w:rsid w:val="00BB4675"/>
    <w:rsid w:val="00BC1716"/>
    <w:rsid w:val="00BF26B8"/>
    <w:rsid w:val="00C214DE"/>
    <w:rsid w:val="00C30960"/>
    <w:rsid w:val="00C309D4"/>
    <w:rsid w:val="00C351FE"/>
    <w:rsid w:val="00C36616"/>
    <w:rsid w:val="00C448E6"/>
    <w:rsid w:val="00C4568F"/>
    <w:rsid w:val="00C476E0"/>
    <w:rsid w:val="00C5373F"/>
    <w:rsid w:val="00C57999"/>
    <w:rsid w:val="00C64A91"/>
    <w:rsid w:val="00C663FF"/>
    <w:rsid w:val="00C74D83"/>
    <w:rsid w:val="00C75EA7"/>
    <w:rsid w:val="00C7678B"/>
    <w:rsid w:val="00CA1B59"/>
    <w:rsid w:val="00CA3C4C"/>
    <w:rsid w:val="00CA61D7"/>
    <w:rsid w:val="00CB32F7"/>
    <w:rsid w:val="00CB4A4E"/>
    <w:rsid w:val="00CC7221"/>
    <w:rsid w:val="00CE4B1E"/>
    <w:rsid w:val="00CE4F9D"/>
    <w:rsid w:val="00CF1029"/>
    <w:rsid w:val="00CF331B"/>
    <w:rsid w:val="00CF652F"/>
    <w:rsid w:val="00D01611"/>
    <w:rsid w:val="00D0541E"/>
    <w:rsid w:val="00D203C5"/>
    <w:rsid w:val="00D21329"/>
    <w:rsid w:val="00D21B74"/>
    <w:rsid w:val="00D25F01"/>
    <w:rsid w:val="00D2789A"/>
    <w:rsid w:val="00D36C5C"/>
    <w:rsid w:val="00D40B49"/>
    <w:rsid w:val="00D431B3"/>
    <w:rsid w:val="00D55476"/>
    <w:rsid w:val="00D62673"/>
    <w:rsid w:val="00D63FCB"/>
    <w:rsid w:val="00D67D0B"/>
    <w:rsid w:val="00D77591"/>
    <w:rsid w:val="00D8662E"/>
    <w:rsid w:val="00D904BF"/>
    <w:rsid w:val="00D940A2"/>
    <w:rsid w:val="00D97020"/>
    <w:rsid w:val="00DA0F61"/>
    <w:rsid w:val="00DA3BE0"/>
    <w:rsid w:val="00DB12FC"/>
    <w:rsid w:val="00DC033A"/>
    <w:rsid w:val="00DD1A4F"/>
    <w:rsid w:val="00DD2AAC"/>
    <w:rsid w:val="00DD67EE"/>
    <w:rsid w:val="00DE1271"/>
    <w:rsid w:val="00DE3C90"/>
    <w:rsid w:val="00DF25E5"/>
    <w:rsid w:val="00E00EE2"/>
    <w:rsid w:val="00E075B9"/>
    <w:rsid w:val="00E11412"/>
    <w:rsid w:val="00E162E5"/>
    <w:rsid w:val="00E16A16"/>
    <w:rsid w:val="00E31E81"/>
    <w:rsid w:val="00E3268F"/>
    <w:rsid w:val="00E41DD0"/>
    <w:rsid w:val="00E43C68"/>
    <w:rsid w:val="00E47C45"/>
    <w:rsid w:val="00E53EE2"/>
    <w:rsid w:val="00E540F0"/>
    <w:rsid w:val="00E55223"/>
    <w:rsid w:val="00E61EA9"/>
    <w:rsid w:val="00E71071"/>
    <w:rsid w:val="00E725B5"/>
    <w:rsid w:val="00E72D82"/>
    <w:rsid w:val="00E74C2B"/>
    <w:rsid w:val="00E75C19"/>
    <w:rsid w:val="00E8571A"/>
    <w:rsid w:val="00E8668D"/>
    <w:rsid w:val="00EA0B84"/>
    <w:rsid w:val="00EA1F5D"/>
    <w:rsid w:val="00EA2FF8"/>
    <w:rsid w:val="00EB307C"/>
    <w:rsid w:val="00EC4730"/>
    <w:rsid w:val="00ED4BD3"/>
    <w:rsid w:val="00ED5AE6"/>
    <w:rsid w:val="00EE054D"/>
    <w:rsid w:val="00EE0A96"/>
    <w:rsid w:val="00EF4765"/>
    <w:rsid w:val="00F00688"/>
    <w:rsid w:val="00F0663D"/>
    <w:rsid w:val="00F1073B"/>
    <w:rsid w:val="00F14511"/>
    <w:rsid w:val="00F21015"/>
    <w:rsid w:val="00F6012C"/>
    <w:rsid w:val="00F633B3"/>
    <w:rsid w:val="00F70BEA"/>
    <w:rsid w:val="00F8068E"/>
    <w:rsid w:val="00F8462E"/>
    <w:rsid w:val="00F85CAE"/>
    <w:rsid w:val="00F973E9"/>
    <w:rsid w:val="00FA6199"/>
    <w:rsid w:val="00FB12A7"/>
    <w:rsid w:val="00FB2B85"/>
    <w:rsid w:val="00FB5804"/>
    <w:rsid w:val="00FD2F0C"/>
    <w:rsid w:val="00FE237F"/>
    <w:rsid w:val="00FE2B9F"/>
    <w:rsid w:val="00FE4A36"/>
    <w:rsid w:val="00FE5300"/>
    <w:rsid w:val="00FE5685"/>
    <w:rsid w:val="00FF0407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paragraph" w:customStyle="1" w:styleId="xmsonormal">
    <w:name w:val="xmsonormal"/>
    <w:basedOn w:val="Normalny"/>
    <w:rsid w:val="008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2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8804BD3ABBDD4A9A33F1A93A20FBAA" ma:contentTypeVersion="10" ma:contentTypeDescription="Utwórz nowy dokument." ma:contentTypeScope="" ma:versionID="65b3ce8b3cd18809aaaf1d28cfd6c704">
  <xsd:schema xmlns:xsd="http://www.w3.org/2001/XMLSchema" xmlns:xs="http://www.w3.org/2001/XMLSchema" xmlns:p="http://schemas.microsoft.com/office/2006/metadata/properties" xmlns:ns3="4cc86e2e-08df-4f27-84ea-274d04457390" targetNamespace="http://schemas.microsoft.com/office/2006/metadata/properties" ma:root="true" ma:fieldsID="9cc754a30f04b7623973125149892ad0" ns3:_="">
    <xsd:import namespace="4cc86e2e-08df-4f27-84ea-274d04457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6e2e-08df-4f27-84ea-274d0445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4025F-39B0-4431-A137-BD5B01119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BD2F0F8-2FC3-45C1-A96D-1DB5EA7F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86e2e-08df-4f27-84ea-274d0445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5</cp:revision>
  <dcterms:created xsi:type="dcterms:W3CDTF">2024-05-24T10:42:00Z</dcterms:created>
  <dcterms:modified xsi:type="dcterms:W3CDTF">2024-05-24T10:48:00Z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0x010100DB8804BD3ABBDD4A9A33F1A93A20FBAA</vt:lpwstr>
  </property>
  <property fmtid="{D5CDD505-2E9C-101B-9397-08002B2CF9AE}" pid="10" name="MediaServiceImageTags">
    <vt:lpwstr/>
  </property>
</Properties>
</file>