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35425897" w:rsidR="00D824D3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DA12A6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C22973">
        <w:rPr>
          <w:rFonts w:ascii="Tahoma" w:eastAsia="Tahoma" w:hAnsi="Tahoma" w:cs="Tahoma"/>
          <w:color w:val="808080"/>
          <w:sz w:val="20"/>
          <w:szCs w:val="20"/>
        </w:rPr>
        <w:t>27</w:t>
      </w:r>
      <w:r w:rsidR="00D46F70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C22973">
        <w:rPr>
          <w:rFonts w:ascii="Tahoma" w:eastAsia="Tahoma" w:hAnsi="Tahoma" w:cs="Tahoma"/>
          <w:color w:val="808080"/>
          <w:sz w:val="20"/>
          <w:szCs w:val="20"/>
        </w:rPr>
        <w:t>lipca</w:t>
      </w:r>
      <w:r w:rsidR="00D46F70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</w:t>
      </w:r>
      <w:r w:rsidR="00B84905">
        <w:rPr>
          <w:rFonts w:ascii="Tahoma" w:eastAsia="Tahoma" w:hAnsi="Tahoma" w:cs="Tahoma"/>
          <w:color w:val="808080"/>
          <w:sz w:val="20"/>
          <w:szCs w:val="20"/>
          <w:highlight w:val="white"/>
        </w:rPr>
        <w:t>2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D19649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2D5C56E0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088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970"/>
        <w:gridCol w:w="3118"/>
      </w:tblGrid>
      <w:tr w:rsidR="00D824D3" w:rsidRPr="00775CAB" w14:paraId="18FE4A91" w14:textId="77777777" w:rsidTr="004E0543">
        <w:tc>
          <w:tcPr>
            <w:tcW w:w="6970" w:type="dxa"/>
          </w:tcPr>
          <w:p w14:paraId="50DAD41A" w14:textId="2EB836A1" w:rsidR="00D824D3" w:rsidRPr="00C02D68" w:rsidRDefault="00F65CEF">
            <w:pPr>
              <w:spacing w:line="360" w:lineRule="auto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  <w:r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#</w:t>
            </w:r>
            <w:r w:rsidR="00775CAB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wynikifinansowe</w:t>
            </w:r>
            <w:r w:rsidR="004E7219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 xml:space="preserve"> </w:t>
            </w:r>
          </w:p>
          <w:p w14:paraId="7607BB6A" w14:textId="77777777" w:rsidR="00D824D3" w:rsidRPr="00C02D68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</w:p>
          <w:p w14:paraId="3D71A51E" w14:textId="44072B44" w:rsidR="00D51FBF" w:rsidRPr="00C02D68" w:rsidRDefault="00775CA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Komentarz prezesa Zarządu Budimeksu SA</w:t>
            </w:r>
          </w:p>
          <w:p w14:paraId="4136047E" w14:textId="4475F46E" w:rsidR="00D51FBF" w:rsidRPr="00C02D68" w:rsidRDefault="00AA6F3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Artura Popko</w:t>
            </w:r>
          </w:p>
          <w:p w14:paraId="1F08E350" w14:textId="5C9936EB" w:rsidR="009A2A41" w:rsidRPr="00D51FBF" w:rsidRDefault="009A2A41" w:rsidP="009A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  <w:r w:rsidRPr="00D51FBF">
              <w:rPr>
                <w:rFonts w:ascii="Tahoma" w:eastAsia="Tahoma" w:hAnsi="Tahoma" w:cs="Tahoma"/>
                <w:b/>
                <w:color w:val="FFC000"/>
              </w:rPr>
              <w:t>do danych finansowych</w:t>
            </w:r>
            <w:r>
              <w:rPr>
                <w:rFonts w:ascii="Tahoma" w:eastAsia="Tahoma" w:hAnsi="Tahoma" w:cs="Tahoma"/>
                <w:b/>
                <w:color w:val="FFC000"/>
              </w:rPr>
              <w:t xml:space="preserve"> </w:t>
            </w:r>
            <w:r w:rsidRPr="00D51FBF">
              <w:rPr>
                <w:rFonts w:ascii="Tahoma" w:eastAsia="Tahoma" w:hAnsi="Tahoma" w:cs="Tahoma"/>
                <w:b/>
                <w:color w:val="FFC000"/>
              </w:rPr>
              <w:t xml:space="preserve">Grupy Budimex </w:t>
            </w:r>
            <w:r>
              <w:rPr>
                <w:rFonts w:ascii="Tahoma" w:eastAsia="Tahoma" w:hAnsi="Tahoma" w:cs="Tahoma"/>
                <w:b/>
                <w:color w:val="FFC000"/>
              </w:rPr>
              <w:br/>
            </w:r>
            <w:r w:rsidRPr="00D51FBF">
              <w:rPr>
                <w:rFonts w:ascii="Tahoma" w:eastAsia="Tahoma" w:hAnsi="Tahoma" w:cs="Tahoma"/>
                <w:b/>
                <w:color w:val="FFC000"/>
              </w:rPr>
              <w:t xml:space="preserve">za </w:t>
            </w:r>
            <w:r>
              <w:rPr>
                <w:rFonts w:ascii="Tahoma" w:eastAsia="Tahoma" w:hAnsi="Tahoma" w:cs="Tahoma"/>
                <w:b/>
                <w:color w:val="FFC000"/>
              </w:rPr>
              <w:t>1</w:t>
            </w:r>
            <w:r w:rsidR="003D68B8">
              <w:rPr>
                <w:rFonts w:ascii="Tahoma" w:eastAsia="Tahoma" w:hAnsi="Tahoma" w:cs="Tahoma"/>
                <w:b/>
                <w:color w:val="FFC000"/>
              </w:rPr>
              <w:t>.</w:t>
            </w:r>
            <w:r>
              <w:rPr>
                <w:rFonts w:ascii="Tahoma" w:eastAsia="Tahoma" w:hAnsi="Tahoma" w:cs="Tahoma"/>
                <w:b/>
                <w:color w:val="FFC000"/>
              </w:rPr>
              <w:t xml:space="preserve"> </w:t>
            </w:r>
            <w:r w:rsidR="00C22973">
              <w:rPr>
                <w:rFonts w:ascii="Tahoma" w:eastAsia="Tahoma" w:hAnsi="Tahoma" w:cs="Tahoma"/>
                <w:b/>
                <w:color w:val="FFC000"/>
              </w:rPr>
              <w:t>półrocze</w:t>
            </w:r>
            <w:r>
              <w:rPr>
                <w:rFonts w:ascii="Tahoma" w:eastAsia="Tahoma" w:hAnsi="Tahoma" w:cs="Tahoma"/>
                <w:b/>
                <w:color w:val="FFC000"/>
              </w:rPr>
              <w:t xml:space="preserve"> 2022 roku</w:t>
            </w:r>
          </w:p>
          <w:p w14:paraId="2D0A5BC2" w14:textId="77777777" w:rsidR="00A9414D" w:rsidRPr="00B84905" w:rsidRDefault="00A9414D" w:rsidP="00B8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6075F24" w14:textId="6081CC8C" w:rsidR="009A2A41" w:rsidRPr="00D265B4" w:rsidRDefault="009A2A41" w:rsidP="009A2A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1 </w:t>
            </w:r>
            <w:r w:rsidR="00C2297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półroczu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202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przychody ze sprzedaży 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Grup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y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Budimex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wyniosły </w:t>
            </w:r>
            <w:r w:rsidR="00C2297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  <w:t>3 998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milionów złotych (</w:t>
            </w:r>
            <w:r w:rsidR="000C085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+2</w:t>
            </w:r>
            <w:r w:rsidR="00C2297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 r/r)</w:t>
            </w:r>
            <w:r w:rsidR="00CA1A7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a zysk netto </w:t>
            </w:r>
            <w:r w:rsidR="00C2297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z działalności kontynuowanej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osiągnął poziom </w:t>
            </w:r>
            <w:r w:rsidR="00C2297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201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milionów złotych</w:t>
            </w:r>
          </w:p>
          <w:p w14:paraId="0FA5051D" w14:textId="1ECAA7F3" w:rsidR="000C0857" w:rsidRPr="000C0857" w:rsidRDefault="0087588D" w:rsidP="000C08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R</w:t>
            </w:r>
            <w:r w:rsidR="009A2A4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entownoś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ć</w:t>
            </w:r>
            <w:r w:rsidR="009A2A4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4E054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operacyjna </w:t>
            </w:r>
            <w:r w:rsidR="009A2A4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segmentu budowlanego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wyniosła 5,4%</w:t>
            </w:r>
            <w:r w:rsidR="005E3E6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i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była nieco wyższa niż w analogicznym okresie roku poprzedniego</w:t>
            </w:r>
          </w:p>
          <w:p w14:paraId="1CF9C9E7" w14:textId="06C46F7A" w:rsidR="009A2A41" w:rsidRPr="00775CAB" w:rsidRDefault="0087588D" w:rsidP="009A2A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Wartość kontraktów pozyskanych w pierwszej połowie roku przekroczyła 2,0 miliard</w:t>
            </w:r>
            <w:r w:rsidR="004A273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złotych</w:t>
            </w:r>
            <w:r w:rsidR="00CA1A7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a portfel osiągną</w:t>
            </w:r>
            <w:r w:rsidR="00CA1A7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ł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poziom 11,</w:t>
            </w:r>
            <w:r w:rsidR="004E054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8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miliarda złotych</w:t>
            </w:r>
            <w:r w:rsidR="009A2A4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</w:p>
          <w:p w14:paraId="22B5F062" w14:textId="184E693C" w:rsidR="00775CAB" w:rsidRPr="007659C0" w:rsidRDefault="00775CAB" w:rsidP="007D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</w:p>
          <w:p w14:paraId="3C9D00EF" w14:textId="77777777" w:rsidR="00C32C83" w:rsidRPr="007C69AF" w:rsidRDefault="00C32C8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  <w:highlight w:val="yellow"/>
              </w:rPr>
            </w:pPr>
          </w:p>
          <w:p w14:paraId="0CF40AE2" w14:textId="13338652" w:rsidR="00ED2FCD" w:rsidRPr="00ED2FCD" w:rsidRDefault="00ED2FCD" w:rsidP="00ED2FCD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ED2FC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Grupa Budimex zakończyła 1. półrocze 2022 roku 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z </w:t>
            </w:r>
            <w:r w:rsidRPr="00ED2FC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dobrymi wynikami finansowymi </w:t>
            </w:r>
            <w:r w:rsidR="000E653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- </w:t>
            </w:r>
            <w:r w:rsidRPr="00ED2FC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pomimo trudnej sytuacji rynkowej. </w:t>
            </w:r>
          </w:p>
          <w:p w14:paraId="09175BD1" w14:textId="77777777" w:rsidR="00B9165B" w:rsidRDefault="00B9165B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3A152B21" w14:textId="29F5FDC8" w:rsidR="00C47A3A" w:rsidRDefault="00FE712E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Wybuch wojny w Ukrainie w istotny sposób wpłynął na większość gałęzi naszej gospodarki. Budownictwo to jeden z sektorów, któr</w:t>
            </w:r>
            <w:r w:rsidR="00370F9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najmocniej odczuł konsekwencje</w:t>
            </w:r>
            <w:r w:rsidR="00A7058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tego konfliktu zbrojnego</w:t>
            </w:r>
            <w:r w:rsidR="000F50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Ostatnie miesiące, pomimo </w:t>
            </w:r>
            <w:r w:rsidR="00A7058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trudnej sytuacji geopolitycznej</w:t>
            </w:r>
            <w:r w:rsidR="000F50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przyniosły </w:t>
            </w:r>
            <w:r w:rsidR="00882D2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częściową </w:t>
            </w:r>
            <w:r w:rsidR="000F50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stabilizację. Niemniej jednak część </w:t>
            </w:r>
            <w:r w:rsidR="003917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niekorzystnych dla branży trendów</w:t>
            </w:r>
            <w:r w:rsidR="000F50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które nasiliły się po </w:t>
            </w:r>
            <w:r w:rsidR="00A7058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24 lutego</w:t>
            </w:r>
            <w:r w:rsidR="000F50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r w:rsidR="003917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trwają do dziś</w:t>
            </w:r>
            <w:r w:rsidR="00C33D3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-</w:t>
            </w:r>
            <w:r w:rsidR="004A273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mowa tu </w:t>
            </w:r>
            <w:r w:rsidR="003917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przede wszystkim </w:t>
            </w:r>
            <w:r w:rsidR="004A273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</w:t>
            </w:r>
            <w:r w:rsidR="0089622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3917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wzro</w:t>
            </w:r>
            <w:r w:rsidR="004A273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ście</w:t>
            </w:r>
            <w:r w:rsidR="003917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cen </w:t>
            </w:r>
            <w:r w:rsidR="009E667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paliw</w:t>
            </w:r>
            <w:r w:rsidR="003917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oraz wysok</w:t>
            </w:r>
            <w:r w:rsidR="004A273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im poziomie </w:t>
            </w:r>
            <w:r w:rsidR="003917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inflacj</w:t>
            </w:r>
            <w:r w:rsidR="004A273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</w:t>
            </w:r>
            <w:r w:rsidR="003917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61886233" w14:textId="77777777" w:rsidR="00C47A3A" w:rsidRDefault="00C47A3A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7AB6023" w14:textId="50ED2CFA" w:rsidR="007143D6" w:rsidRDefault="004A2737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pierwszym półroczu 2022 roku </w:t>
            </w:r>
            <w:r w:rsidR="0018403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Grupa Budimex wypracowała zysk operacyjny na poziomie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235</w:t>
            </w:r>
            <w:r w:rsidR="0018403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przy rentowności 5,9%, przy czym w pierwszym kwartale bieżącego roku rentowność </w:t>
            </w:r>
            <w:r w:rsidR="0089622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operacyjna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osiągnęła poziom 3,6%</w:t>
            </w:r>
            <w:r w:rsidR="00C33D3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 w drugim kwartale </w:t>
            </w:r>
            <w:r w:rsidR="002C6D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wynik wyniósł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7,4%. </w:t>
            </w:r>
          </w:p>
          <w:p w14:paraId="4F2359A2" w14:textId="77777777" w:rsidR="005030B7" w:rsidRDefault="005030B7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11BAC17" w14:textId="6C37D1C8" w:rsidR="00DF6A22" w:rsidRDefault="00DF6A22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Zysk brutto Grupy Budimex wyniósł </w:t>
            </w:r>
            <w:r w:rsidR="0022175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262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miliony złotych przy rentowności </w:t>
            </w:r>
            <w:r w:rsidR="0022175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6,6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</w:t>
            </w:r>
            <w:r w:rsidR="00B316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porównaniu do </w:t>
            </w:r>
            <w:r w:rsidR="0022175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8,0%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pierwszym </w:t>
            </w:r>
            <w:r w:rsidR="0022175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 ubiegłego</w:t>
            </w:r>
            <w:r w:rsidR="0022175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221758" w:rsidRPr="0022175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(5,9% po wyłączeniu efektu sprzedaży Budimex Nieruchomości w </w:t>
            </w:r>
            <w:r w:rsidR="0045660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drugim</w:t>
            </w:r>
            <w:r w:rsidR="00221758" w:rsidRPr="0022175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kwartale 2021 roku)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Rentowność na poziomie zysku brutto wspierana </w:t>
            </w:r>
            <w:r w:rsidR="00B316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była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przez znaczną poprawę wyniku na działalności finansowej, co jest efektem wzrostu średniego poziomu oprocentowania </w:t>
            </w:r>
            <w:r w:rsidR="0045660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środków pieniężnych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lokowan</w:t>
            </w:r>
            <w:r w:rsidR="003D68B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przez Grupę Budimex. </w:t>
            </w:r>
          </w:p>
          <w:p w14:paraId="74F16528" w14:textId="77777777" w:rsidR="009C6F68" w:rsidRPr="009423FC" w:rsidRDefault="009C6F68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4"/>
              <w:tblW w:w="673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1285"/>
              <w:gridCol w:w="1303"/>
              <w:gridCol w:w="1122"/>
            </w:tblGrid>
            <w:tr w:rsidR="009C6F68" w:rsidRPr="009C6F68" w14:paraId="0DAB7AE8" w14:textId="77777777" w:rsidTr="009C6F68">
              <w:trPr>
                <w:trHeight w:val="300"/>
              </w:trPr>
              <w:tc>
                <w:tcPr>
                  <w:tcW w:w="3024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7EACA2C5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t>Grupa Budimex</w:t>
                  </w: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br/>
                    <w:t>(mln zł.)</w:t>
                  </w:r>
                </w:p>
              </w:tc>
              <w:tc>
                <w:tcPr>
                  <w:tcW w:w="371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3FED4CE3" w14:textId="77777777" w:rsidR="009C6F68" w:rsidRPr="009C6F68" w:rsidRDefault="009C6F68" w:rsidP="009C6F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9C6F68" w:rsidRPr="009C6F68" w14:paraId="25238E78" w14:textId="77777777" w:rsidTr="009C6F68">
              <w:trPr>
                <w:trHeight w:val="464"/>
              </w:trPr>
              <w:tc>
                <w:tcPr>
                  <w:tcW w:w="3024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696D2FA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6328793D" w14:textId="77777777" w:rsidR="009C6F68" w:rsidRPr="009C6F68" w:rsidRDefault="009C6F68" w:rsidP="009C6F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000000"/>
                    </w:rPr>
                    <w:t>1 poł. 2022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22C010BF" w14:textId="77777777" w:rsidR="009C6F68" w:rsidRPr="009C6F68" w:rsidRDefault="009C6F68" w:rsidP="009C6F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000000"/>
                    </w:rPr>
                    <w:t>1 poł. 2021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3D4F4554" w14:textId="77777777" w:rsidR="009C6F68" w:rsidRPr="009C6F68" w:rsidRDefault="009C6F68" w:rsidP="009C6F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9C6F68" w:rsidRPr="009C6F68" w14:paraId="56FB4707" w14:textId="77777777" w:rsidTr="009C6F68">
              <w:trPr>
                <w:trHeight w:val="361"/>
              </w:trPr>
              <w:tc>
                <w:tcPr>
                  <w:tcW w:w="3024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01D5B19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2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13CAF30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3 998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7019ADDC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3 241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FFC000"/>
                  </w:tcBorders>
                  <w:shd w:val="clear" w:color="000000" w:fill="FFC000"/>
                  <w:noWrap/>
                  <w:vAlign w:val="center"/>
                  <w:hideMark/>
                </w:tcPr>
                <w:p w14:paraId="242FC091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23,4%</w:t>
                  </w:r>
                </w:p>
              </w:tc>
            </w:tr>
            <w:tr w:rsidR="009C6F68" w:rsidRPr="009C6F68" w14:paraId="05A2E444" w14:textId="77777777" w:rsidTr="009C6F68">
              <w:trPr>
                <w:trHeight w:val="361"/>
              </w:trPr>
              <w:tc>
                <w:tcPr>
                  <w:tcW w:w="30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0E0B4E8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788E832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235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A409DAE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276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BEE0782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-15,1%</w:t>
                  </w:r>
                </w:p>
              </w:tc>
            </w:tr>
            <w:tr w:rsidR="009C6F68" w:rsidRPr="009C6F68" w14:paraId="249E8381" w14:textId="77777777" w:rsidTr="009C6F68">
              <w:trPr>
                <w:trHeight w:val="216"/>
              </w:trPr>
              <w:tc>
                <w:tcPr>
                  <w:tcW w:w="3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51BB69B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339311A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5,9%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41D6F49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8,5%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843303D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-2,7% pp.</w:t>
                  </w:r>
                </w:p>
              </w:tc>
            </w:tr>
            <w:tr w:rsidR="009C6F68" w:rsidRPr="009C6F68" w14:paraId="0B74CD28" w14:textId="77777777" w:rsidTr="009C6F68">
              <w:trPr>
                <w:trHeight w:val="361"/>
              </w:trPr>
              <w:tc>
                <w:tcPr>
                  <w:tcW w:w="30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027C28D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05FA17F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262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FC34BCC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260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23F8F99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1,0%</w:t>
                  </w:r>
                </w:p>
              </w:tc>
            </w:tr>
            <w:tr w:rsidR="009C6F68" w:rsidRPr="009C6F68" w14:paraId="0D3A08F9" w14:textId="77777777" w:rsidTr="009C6F68">
              <w:trPr>
                <w:trHeight w:val="216"/>
              </w:trPr>
              <w:tc>
                <w:tcPr>
                  <w:tcW w:w="3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AEF32A7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576F035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6,6%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EE9FC4B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8,0%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1809753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-1,5% pp.</w:t>
                  </w:r>
                </w:p>
              </w:tc>
            </w:tr>
            <w:tr w:rsidR="009C6F68" w:rsidRPr="009C6F68" w14:paraId="2C98FD25" w14:textId="77777777" w:rsidTr="009C6F68">
              <w:trPr>
                <w:trHeight w:val="451"/>
              </w:trPr>
              <w:tc>
                <w:tcPr>
                  <w:tcW w:w="30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0676E651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 xml:space="preserve">Zysk netto* </w:t>
                  </w: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br/>
                  </w: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16"/>
                      <w:szCs w:val="16"/>
                    </w:rPr>
                    <w:t>z działalności kontynuowanej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A6E6B33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201,2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91338BB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200,7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1741010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0,3%</w:t>
                  </w:r>
                </w:p>
              </w:tc>
            </w:tr>
            <w:tr w:rsidR="009C6F68" w:rsidRPr="009C6F68" w14:paraId="3E6588B8" w14:textId="77777777" w:rsidTr="009C6F68">
              <w:trPr>
                <w:trHeight w:val="216"/>
              </w:trPr>
              <w:tc>
                <w:tcPr>
                  <w:tcW w:w="3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4344B4A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538F700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5,0%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5689FC7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6,2%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9C67AE6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-1,2% pp.</w:t>
                  </w:r>
                </w:p>
              </w:tc>
            </w:tr>
            <w:tr w:rsidR="009C6F68" w:rsidRPr="009C6F68" w14:paraId="4AE35AD1" w14:textId="77777777" w:rsidTr="009C6F68">
              <w:trPr>
                <w:trHeight w:val="219"/>
              </w:trPr>
              <w:tc>
                <w:tcPr>
                  <w:tcW w:w="3024" w:type="dxa"/>
                  <w:tcBorders>
                    <w:top w:val="single" w:sz="4" w:space="0" w:color="000000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hideMark/>
                </w:tcPr>
                <w:p w14:paraId="583AD967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</w:pPr>
                  <w:r w:rsidRPr="009C6F68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  <w:t>*przypadający akcjonariuszom Jednostki Dominującej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64B32719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47EFCC63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5580D7CB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9C6F68" w:rsidRPr="009C6F68" w14:paraId="21FC6814" w14:textId="77777777" w:rsidTr="009C6F68">
              <w:trPr>
                <w:trHeight w:val="219"/>
              </w:trPr>
              <w:tc>
                <w:tcPr>
                  <w:tcW w:w="30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F1FD620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9C6F68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działalność zaniechana</w:t>
                  </w:r>
                </w:p>
              </w:tc>
              <w:tc>
                <w:tcPr>
                  <w:tcW w:w="128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3664711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  <w:t>0</w:t>
                  </w:r>
                </w:p>
              </w:tc>
              <w:tc>
                <w:tcPr>
                  <w:tcW w:w="130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5C12EEB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  <w:t>521</w:t>
                  </w:r>
                </w:p>
              </w:tc>
              <w:tc>
                <w:tcPr>
                  <w:tcW w:w="112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F31BBBF" w14:textId="77777777" w:rsidR="009C6F68" w:rsidRPr="009C6F68" w:rsidRDefault="009C6F68" w:rsidP="009C6F6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</w:pPr>
                  <w:r w:rsidRPr="009C6F68"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  <w:t>-100,0%</w:t>
                  </w:r>
                </w:p>
              </w:tc>
            </w:tr>
          </w:tbl>
          <w:p w14:paraId="47448682" w14:textId="0AFB152D" w:rsidR="00EF28BA" w:rsidRPr="007C69AF" w:rsidRDefault="00FD14F3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7C69AF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  <w:t xml:space="preserve"> </w:t>
            </w:r>
          </w:p>
          <w:p w14:paraId="5805A72A" w14:textId="55A1CA42" w:rsidR="00221758" w:rsidRPr="00107A4A" w:rsidRDefault="00221758" w:rsidP="00107A4A">
            <w:pPr>
              <w:spacing w:line="360" w:lineRule="auto"/>
              <w:jc w:val="center"/>
              <w:rPr>
                <w:rFonts w:ascii="Tahoma" w:eastAsia="Tahoma" w:hAnsi="Tahoma" w:cs="Tahoma"/>
                <w:color w:val="808080"/>
                <w:sz w:val="18"/>
                <w:szCs w:val="18"/>
                <w:highlight w:val="yellow"/>
              </w:rPr>
            </w:pPr>
          </w:p>
          <w:p w14:paraId="56892A2B" w14:textId="4167D5E5" w:rsidR="00BF116E" w:rsidRDefault="00FD14F3" w:rsidP="00BF116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235BC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Odnotowaliśmy </w:t>
            </w:r>
            <w:r w:rsidR="00CE063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znaczący </w:t>
            </w:r>
            <w:r w:rsidR="00E617F8">
              <w:rPr>
                <w:rFonts w:ascii="Tahoma" w:eastAsia="Tahoma" w:hAnsi="Tahoma" w:cs="Tahoma"/>
                <w:color w:val="808080"/>
                <w:sz w:val="18"/>
                <w:szCs w:val="18"/>
              </w:rPr>
              <w:t>wzrost</w:t>
            </w:r>
            <w:r w:rsidRPr="00235BC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przychodów ze sprzedaży Grupy</w:t>
            </w:r>
            <w:r w:rsidR="00CE063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głównie dzięki większej skali realizowanej sprzedaży w części budowlanej. </w:t>
            </w:r>
            <w:r w:rsidR="00C21BF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 części usługowej przychody były zbliżone do </w:t>
            </w:r>
            <w:r w:rsidR="00B6783C">
              <w:rPr>
                <w:rFonts w:ascii="Tahoma" w:eastAsia="Tahoma" w:hAnsi="Tahoma" w:cs="Tahoma"/>
                <w:color w:val="808080"/>
                <w:sz w:val="18"/>
                <w:szCs w:val="18"/>
              </w:rPr>
              <w:t>roku ubiegłego</w:t>
            </w:r>
            <w:r w:rsidR="00C21BF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. </w:t>
            </w:r>
            <w:r w:rsidR="00CE063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</w:p>
          <w:p w14:paraId="4B0D7F5C" w14:textId="6D52982E" w:rsidR="00C96B2F" w:rsidRDefault="00C96B2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14A51B58" w14:textId="434302A7" w:rsidR="004A1897" w:rsidRDefault="004A1897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4A18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Produkcja budowlano-montażowa w Polsce w pierwszym półroczu 2022 roku (w cenach bieżących) wzrosła rok do roku o 24,5% z poziomu 45,4 miliarda złotych do 56,5 miliarda złotych. W segmencie budynków produkcja sprzedana wzrosła aż o 33,4%, natomiast w obszarze infrastrukturalnym wzrost wyniósł 15,2%.</w:t>
            </w:r>
          </w:p>
          <w:p w14:paraId="7CC9A0DF" w14:textId="67BA8488" w:rsidR="004A1897" w:rsidRDefault="004A1897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4A1897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  <w:highlight w:val="yellow"/>
              </w:rPr>
              <w:drawing>
                <wp:anchor distT="0" distB="0" distL="114300" distR="114300" simplePos="0" relativeHeight="251710464" behindDoc="0" locked="0" layoutInCell="1" allowOverlap="1" wp14:anchorId="3D713ED5" wp14:editId="4603535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205105</wp:posOffset>
                  </wp:positionV>
                  <wp:extent cx="4226560" cy="2555240"/>
                  <wp:effectExtent l="0" t="0" r="254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560" cy="255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8FFFBA" w14:textId="641A5295" w:rsidR="004A1897" w:rsidRDefault="004A1897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0103AD17" w14:textId="6D4E9D4D" w:rsidR="004A1897" w:rsidRDefault="004A1897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6B1B6370" w14:textId="03F4F729" w:rsidR="004A1897" w:rsidRDefault="004A1897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1253BDE8" w14:textId="77777777" w:rsidR="004A1897" w:rsidRPr="007C69AF" w:rsidRDefault="004A1897" w:rsidP="004A1897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31A9342A" w14:textId="77777777" w:rsidR="004A1897" w:rsidRDefault="004A1897" w:rsidP="004A1897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lastRenderedPageBreak/>
              <w:t xml:space="preserve">Sprzedaż segmentu budowlanego Grupy </w:t>
            </w:r>
            <w:r w:rsidRPr="00D03B6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Budimex wyniosła</w:t>
            </w:r>
            <w:r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 pierwszym półroczu 2022 roku 3 634</w:t>
            </w:r>
            <w:r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milion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y</w:t>
            </w:r>
            <w:r w:rsidRPr="005E283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złotych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</w:p>
          <w:p w14:paraId="2EEE77A7" w14:textId="0D711C1D" w:rsidR="00C040ED" w:rsidRDefault="00C040ED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475031DE" w14:textId="5EDAD477" w:rsidR="00C040ED" w:rsidRDefault="00B6783C" w:rsidP="006E130B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B6783C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drawing>
                <wp:inline distT="0" distB="0" distL="0" distR="0" wp14:anchorId="4776EAD8" wp14:editId="0BC258B6">
                  <wp:extent cx="4200525" cy="23050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9D333" w14:textId="2687FB09" w:rsidR="00C040ED" w:rsidRDefault="00C040ED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371EE460" w14:textId="2D608E17" w:rsidR="00EF28BA" w:rsidRPr="00D03B68" w:rsidRDefault="00B6783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Pomimo trudności rynkowych</w:t>
            </w:r>
            <w:r w:rsidR="0045660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wynikających z czasowej destabilizacji rynku </w:t>
            </w:r>
            <w:r w:rsidR="0045660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obszarze </w:t>
            </w:r>
            <w:r w:rsidR="005038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cen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materiałów oraz zerwanych łańcuchów dostaw</w:t>
            </w:r>
            <w:r w:rsidR="0045660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</w:t>
            </w:r>
            <w:r w:rsidR="00424ADA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kala zrealizowanych przychodów ze sprzedaży </w:t>
            </w:r>
            <w:r w:rsidR="008F66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pierwszym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 w:rsidR="008F66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C4B59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202</w:t>
            </w:r>
            <w:r w:rsidR="008F66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="00CC4B59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652FF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roku </w:t>
            </w:r>
            <w:r w:rsidR="00471B82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segmencie budowlanym </w:t>
            </w:r>
            <w:r w:rsidR="00A56E7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była</w:t>
            </w:r>
            <w:r w:rsidR="00424ADA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F66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znacznie wyższa</w:t>
            </w:r>
            <w:r w:rsidR="003D68B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424ADA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niż</w:t>
            </w:r>
            <w:r w:rsidR="00636727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24ADA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1652FF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analogicznym okresie roku poprzedniego</w:t>
            </w:r>
            <w:r w:rsidR="00426430" w:rsidRP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Wysoki </w:t>
            </w:r>
            <w:r w:rsidR="008F662C">
              <w:rPr>
                <w:rFonts w:ascii="Tahoma" w:eastAsia="Tahoma" w:hAnsi="Tahoma" w:cs="Tahoma"/>
                <w:color w:val="808080"/>
                <w:sz w:val="18"/>
                <w:szCs w:val="18"/>
              </w:rPr>
              <w:t>portfel zamówień</w:t>
            </w:r>
            <w:r w:rsidR="00456600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F40DA2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z jakim rozpoczynaliśmy </w:t>
            </w:r>
            <w:r w:rsidR="00456600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2022 </w:t>
            </w:r>
            <w:r w:rsidR="00F40DA2">
              <w:rPr>
                <w:rFonts w:ascii="Tahoma" w:eastAsia="Tahoma" w:hAnsi="Tahoma" w:cs="Tahoma"/>
                <w:color w:val="808080"/>
                <w:sz w:val="18"/>
                <w:szCs w:val="18"/>
              </w:rPr>
              <w:t>rok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przemyślana polityka zakupowa oraz </w:t>
            </w:r>
            <w:r w:rsidR="008F662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sprzyjające warunki pogodowe pozwoliły na zwiększenie przychodów o </w:t>
            </w:r>
            <w:r w:rsidR="006B4EE8">
              <w:rPr>
                <w:rFonts w:ascii="Tahoma" w:eastAsia="Tahoma" w:hAnsi="Tahoma" w:cs="Tahoma"/>
                <w:color w:val="808080"/>
                <w:sz w:val="18"/>
                <w:szCs w:val="18"/>
              </w:rPr>
              <w:t>20%</w:t>
            </w:r>
            <w:r w:rsidR="008F662C">
              <w:rPr>
                <w:rFonts w:ascii="Tahoma" w:eastAsia="Tahoma" w:hAnsi="Tahoma" w:cs="Tahoma"/>
                <w:color w:val="808080"/>
                <w:sz w:val="18"/>
                <w:szCs w:val="18"/>
              </w:rPr>
              <w:t>.</w:t>
            </w:r>
          </w:p>
          <w:p w14:paraId="2C90B4F9" w14:textId="77777777" w:rsidR="00375A37" w:rsidRPr="007C69AF" w:rsidRDefault="00375A37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7C27A25F" w14:textId="4B0276C6" w:rsidR="00CA7F9C" w:rsidRDefault="00EF28BA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F1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</w:t>
            </w:r>
            <w:r w:rsidR="008F662C" w:rsidRPr="001F1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operacyjna</w:t>
            </w:r>
            <w:r w:rsidRPr="001F1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2B6F72" w:rsidRPr="001F1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segmentu budowlanego </w:t>
            </w:r>
            <w:r w:rsidRPr="001F1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wyniosła </w:t>
            </w:r>
            <w:r w:rsidR="005F279F" w:rsidRPr="001F1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5,4</w:t>
            </w:r>
            <w:r w:rsidRPr="001F1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</w:t>
            </w:r>
            <w:r w:rsidR="006D546B" w:rsidRPr="001F1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0154BF" w:rsidRPr="001F1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 była na podobnym poziomie w porównaniu do pierwszego półrocza 2021.</w:t>
            </w:r>
            <w:r w:rsidRPr="00352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5F27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5038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5F27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ostatnim czasie obserwujemy pewną stabilizację w cenach kluczowych asortymentów, a w niektórych przypadkach (m.in. stal) </w:t>
            </w:r>
            <w:r w:rsidR="004027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obniżenie cen</w:t>
            </w:r>
            <w:r w:rsidR="005F27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w</w:t>
            </w:r>
            <w:r w:rsidR="005038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5F27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porównaniu do poziomów odnotowanych kilka tygodni po wybuchu wojny. Odpowiedzialna strategia kontraktacji oraz dopasowana strategia zakupowa pozwoliła nam na ograniczenie strat związanych z aktualną sytuacją rynkową do minimum. </w:t>
            </w:r>
            <w:r w:rsidR="008F66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Budżety wszystkich realizowanych </w:t>
            </w:r>
            <w:r w:rsidR="00B316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przez nas </w:t>
            </w:r>
            <w:r w:rsidR="008F66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projektów są na bieżąco aktualizowane</w:t>
            </w:r>
            <w:r w:rsidR="00CA7F9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natomiast dzięki </w:t>
            </w:r>
            <w:r w:rsidR="006B4EE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dobrej</w:t>
            </w:r>
            <w:r w:rsidR="00CA7F9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rentowności kontraktów</w:t>
            </w:r>
            <w:r w:rsidR="001D3B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CA7F9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ostatnich etapach realizacji rentowność portfela </w:t>
            </w:r>
            <w:r w:rsidR="006B4EE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pozostaje stabilna</w:t>
            </w:r>
            <w:r w:rsidR="00CA7F9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648F41D7" w14:textId="66DDD335" w:rsidR="00CA7F9C" w:rsidRDefault="00CA7F9C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B7F2BF1" w14:textId="24B6A30F" w:rsidR="00CA7F9C" w:rsidRDefault="00CA7F9C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brutto segmentu budowlanego w omawianym okresie wyniosła </w:t>
            </w:r>
            <w:r w:rsidR="00B256B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6,1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</w:t>
            </w:r>
            <w:r w:rsidR="00A3079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 była </w:t>
            </w:r>
            <w:r w:rsidR="00B256B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wyższa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niż w pierwszym </w:t>
            </w:r>
            <w:r w:rsidR="00B256B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2021 roku, kiedy wyniosła </w:t>
            </w:r>
            <w:r w:rsidR="00B256B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4,8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%. </w:t>
            </w:r>
            <w:r w:rsidR="00B256B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ramach zysku brutto segment budowlany poprawił wynik na działalności finansowej o ponad 40 milionów złotych, głównie z tytułu odsetek od depozytów. </w:t>
            </w:r>
          </w:p>
          <w:p w14:paraId="2D3DFD25" w14:textId="77777777" w:rsidR="00650F76" w:rsidRDefault="00650F76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7B0FEF0" w14:textId="5F58052C" w:rsidR="001D12F7" w:rsidRDefault="00B256B5" w:rsidP="00C853E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Trudna do przewidzenia sytuacja makroekonomiczna</w:t>
            </w:r>
            <w:r w:rsidR="00650F7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przełożył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="00650F7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się na nasze podejście do nowych ofert. Wszystkie projekty, w których kalkulacje bazowały na </w:t>
            </w:r>
            <w:r w:rsidR="00650F7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cenach sprzed wybuchu wojny w Ukrainie, zostały ponownie przeliczone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– w</w:t>
            </w:r>
            <w:r w:rsidR="005038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konsekwencji </w:t>
            </w:r>
            <w:r w:rsidR="005038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czego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zrezygnowaliśmy z udziału w trwających postępowaniach na kwotę ok. 3 miliardów złotych</w:t>
            </w:r>
            <w:r w:rsidR="00650F7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8D1A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50385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następstwie </w:t>
            </w:r>
            <w:r w:rsidR="008D1A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tej decyzji w 2</w:t>
            </w:r>
            <w:r w:rsidR="001D3B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8D1A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kwartale bieżącego roku odnotowaliśmy przejściowy spadek wartości podpisywanych kontraktów. Patrząc przez pryzmat </w:t>
            </w:r>
            <w:r w:rsidR="00A623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zabezpieczenia marżowości </w:t>
            </w:r>
            <w:r w:rsidR="008D1A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portfela firmy to była </w:t>
            </w:r>
            <w:r w:rsidR="001D12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dobra decyzja</w:t>
            </w:r>
            <w:r w:rsidR="008D1A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43D28C6A" w14:textId="7F618610" w:rsidR="00346FA9" w:rsidRDefault="00346FA9" w:rsidP="00C853E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B60FF8F" w14:textId="4DDB5508" w:rsidR="00346FA9" w:rsidRDefault="00346FA9" w:rsidP="00C853E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</w:t>
            </w:r>
            <w:r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pierwszym półroczu </w:t>
            </w:r>
            <w:r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202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 pozyskaliśmy kontrakty o wartości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2,</w:t>
            </w:r>
            <w:r w:rsidR="00013F8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miliardów </w:t>
            </w:r>
            <w:r w:rsidRPr="004C272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złotych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Portfel zamówień Grupy Budimex na koniec czerwca 2022 roku wyniósł 11,8 miliarda złotych i zabezpiecza front prac na cały bieżący rok i większość roku 2023. </w:t>
            </w:r>
          </w:p>
          <w:p w14:paraId="44B17DAB" w14:textId="77777777" w:rsidR="001D12F7" w:rsidRDefault="001D12F7" w:rsidP="00C853E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5731272" w14:textId="080CD111" w:rsidR="008D1ACD" w:rsidRDefault="007036B9" w:rsidP="00C853E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 przełomie kwietnia i maja mieliśmy pewne obawy związane z potencjałem kontraktacji w bieżącym roku. Jednak i</w:t>
            </w:r>
            <w:r w:rsidR="008D1A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ntensywna praca nad akwizycją nowych projektów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Polsce i za</w:t>
            </w:r>
            <w:r w:rsidR="00EC3B8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granicą</w:t>
            </w:r>
            <w:r w:rsidR="008D1A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D12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ostatnich miesiącach zaowocowała podpisaniem lub złożeniem najkorzystniejszych ofert w kilku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kluczowych</w:t>
            </w:r>
            <w:r w:rsidR="001D12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dla nas przetargach. Mowa tu przede wszystkim o rozbudowie Terminala Kontenerowego T3 w Gdańsku o </w:t>
            </w:r>
            <w:r w:rsidR="00EC3B8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łącznej </w:t>
            </w:r>
            <w:r w:rsidR="001D12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wartości 245 milionów euro,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budowie drogi D1 </w:t>
            </w:r>
            <w:r w:rsidRPr="007036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Bratysława-</w:t>
            </w:r>
            <w:proofErr w:type="spellStart"/>
            <w:r w:rsidRPr="007036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Triblavina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(111 milionów euro) oraz przetargu na projekt i budowę drogi S1 (398 milionów złotych). W </w:t>
            </w:r>
            <w:r w:rsidR="00A623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efekcie powyższych działań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wartość projektów podpisanych oraz oczekujących na podpisanie to przeszło </w:t>
            </w:r>
            <w:r w:rsidR="004E054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miliardy złotych</w:t>
            </w:r>
            <w:r w:rsidR="00013F8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co powinno pozwolić </w:t>
            </w:r>
            <w:r w:rsidR="004E054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zapewnić stabilność portfela</w:t>
            </w:r>
            <w:r w:rsidR="00BC509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nowych</w:t>
            </w:r>
            <w:r w:rsidR="004E054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zamówień 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najbliższych 2-3 kwartałach. </w:t>
            </w:r>
          </w:p>
          <w:p w14:paraId="0BA018BC" w14:textId="77777777" w:rsidR="007012C0" w:rsidRPr="007012C0" w:rsidRDefault="007012C0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9381DF0" w14:textId="5C0C987B" w:rsidR="00760CE1" w:rsidRPr="000154BF" w:rsidRDefault="00775CAB" w:rsidP="00D4399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Grupa Budimex zakończyła </w:t>
            </w:r>
            <w:r w:rsidR="00872C4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</w:t>
            </w:r>
            <w:r w:rsidR="001D3BF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  <w:r w:rsidR="00872C4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kwartał</w:t>
            </w:r>
            <w:r w:rsidR="00C853E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0E4D10"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202</w:t>
            </w:r>
            <w:r w:rsidR="00C853E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</w:t>
            </w:r>
            <w:r w:rsidR="000E4D10"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rok</w:t>
            </w:r>
            <w:r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 pozycją gotówkową netto na poziomie </w:t>
            </w:r>
            <w:r w:rsidR="00872C4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</w:t>
            </w:r>
            <w:r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miliard</w:t>
            </w:r>
            <w:r w:rsidR="00135A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ów</w:t>
            </w:r>
            <w:r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złotych</w:t>
            </w:r>
            <w:r w:rsidR="00B36AEC" w:rsidRPr="002A539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  <w:r w:rsidR="003734D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52A4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C853E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czerwcu</w:t>
            </w:r>
            <w:r w:rsidR="0000116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</w:t>
            </w:r>
            <w:r w:rsidR="00C853E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="0000116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r.</w:t>
            </w:r>
            <w:r w:rsidR="00D03B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853E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wypłaci</w:t>
            </w:r>
            <w:r w:rsidR="00872C4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liśmy</w:t>
            </w:r>
            <w:r w:rsidR="00C853E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pozostałą</w:t>
            </w:r>
            <w:r w:rsidR="00E52A4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dywidendę </w:t>
            </w:r>
            <w:r w:rsidR="00C853E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 rok 2021 </w:t>
            </w:r>
            <w:r w:rsidR="00E52A4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wysokości</w:t>
            </w:r>
            <w:r w:rsidR="002C4D3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93F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23,47</w:t>
            </w:r>
            <w:r w:rsidR="00D911F2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 </w:t>
            </w:r>
            <w:r w:rsidR="002C4D3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przeliczeniu na </w:t>
            </w:r>
            <w:r w:rsidR="00D911F2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jedną </w:t>
            </w:r>
            <w:r w:rsidR="002C4D36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akcję</w:t>
            </w:r>
            <w:r w:rsidR="00D911F2" w:rsidRPr="00EA1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C93F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Tym samym łączna dywidenda za rok 2021</w:t>
            </w:r>
            <w:r w:rsidR="00B349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C93F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przypadająca na jedną akcję </w:t>
            </w:r>
            <w:r w:rsidR="00EC3B8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wyniosła rekordowe</w:t>
            </w:r>
            <w:r w:rsidR="00C93F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38,37 zł.</w:t>
            </w:r>
            <w:r w:rsidR="00872C4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01727E" w:rsidRPr="00CD1EB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8B69C2" wp14:editId="12BB66F5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9931207</wp:posOffset>
                      </wp:positionV>
                      <wp:extent cx="6487795" cy="244475"/>
                      <wp:effectExtent l="0" t="0" r="0" b="31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779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54039" w14:textId="77777777" w:rsidR="0001727E" w:rsidRPr="002B1C9B" w:rsidRDefault="0001727E" w:rsidP="0001727E">
                                  <w:pP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2B1C9B"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*dane pro-forma, sporządzone przy założeniu konsolidacji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Grupy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FBSerwis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 od 01.01.2019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B6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0;margin-top:782pt;width:510.85pt;height:19.2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x6FwIAACwEAAAOAAAAZHJzL2Uyb0RvYy54bWysU8tu2zAQvBfoPxC815JdOU4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9vstvZ7G5KCcfYJMuy2TSUSS5/G+v8dwENCUZBLdIS&#10;0WKHtfN96iklNNOwqpWK1ChNWuzwdZrGH84RLK409rjMGizfbbthgS2UR9zLQk+5M3xVY/M1c/6F&#10;WeQYV0Hd+mc8pAJsAoNFSQX219/uQz5Cj1FKWtRMQd3PPbOCEvVDIyl34ywLIotONp1N0LHXke11&#10;RO+bB0BZjvGFGB7NkO/VyZQWmneU9zJ0xRDTHHsX1J/MB98rGZ8HF8tlTEJZGebXemN4KB3gDNC+&#10;du/MmgF/j8w9wUldLP9AQ5/bE7Hce5B15CgA3KM64I6SjCwPzydo/tqPWZdHvvgNAAD//wMAUEsD&#10;BBQABgAIAAAAIQCwAiio4QAAAAsBAAAPAAAAZHJzL2Rvd25yZXYueG1sTI/NTsMwEITvSLyDtZW4&#10;UbsRCVWIU1WRKiQEh5ZeuDnxNonqnxC7beDp2Z7obXZnNftNsZqsYWccQ++dhMVcAEPXeN27VsL+&#10;c/O4BBaicloZ71DCDwZYlfd3hcq1v7gtnnexZRTiQq4kdDEOOeeh6dCqMPcDOvIOfrQq0ji2XI/q&#10;QuHW8ESIjFvVO/rQqQGrDpvj7mQlvFWbD7WtE7v8NdXr+2E9fO+/UikfZtP6BVjEKf4fwxWf0KEk&#10;ptqfnA7MSKAikbZp9kTq6otk8QysJpWJJAVeFvy2Q/kHAAD//wMAUEsBAi0AFAAGAAgAAAAhALaD&#10;OJL+AAAA4QEAABMAAAAAAAAAAAAAAAAAAAAAAFtDb250ZW50X1R5cGVzXS54bWxQSwECLQAUAAYA&#10;CAAAACEAOP0h/9YAAACUAQAACwAAAAAAAAAAAAAAAAAvAQAAX3JlbHMvLnJlbHNQSwECLQAUAAYA&#10;CAAAACEAUFN8ehcCAAAsBAAADgAAAAAAAAAAAAAAAAAuAgAAZHJzL2Uyb0RvYy54bWxQSwECLQAU&#10;AAYACAAAACEAsAIoqOEAAAALAQAADwAAAAAAAAAAAAAAAABxBAAAZHJzL2Rvd25yZXYueG1sUEsF&#10;BgAAAAAEAAQA8wAAAH8FAAAAAA==&#10;" filled="f" stroked="f" strokeweight=".5pt">
                      <v:textbox>
                        <w:txbxContent>
                          <w:p w14:paraId="40C54039" w14:textId="77777777" w:rsidR="0001727E" w:rsidRPr="002B1C9B" w:rsidRDefault="0001727E" w:rsidP="0001727E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B1C9B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*dane pro-forma, sporządzone przy założeniu konsolidacji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Grupy FBSerwis od 01.01.2019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48530FB3" w14:textId="77777777" w:rsidR="00760CE1" w:rsidRDefault="00760CE1" w:rsidP="00D4399C">
            <w:pPr>
              <w:spacing w:line="360" w:lineRule="auto"/>
              <w:jc w:val="both"/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</w:pPr>
          </w:p>
          <w:p w14:paraId="0E5B09C5" w14:textId="08E15A54" w:rsidR="0001727E" w:rsidRDefault="00C93FA1" w:rsidP="00D4399C">
            <w:pPr>
              <w:spacing w:line="360" w:lineRule="auto"/>
              <w:jc w:val="both"/>
              <w:rPr>
                <w:rStyle w:val="Odwoaniedokomentarza"/>
              </w:rPr>
            </w:pPr>
            <w:r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W pierwszym </w:t>
            </w:r>
            <w:r w:rsidR="00872C41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półroczu</w:t>
            </w:r>
            <w:r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539C6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202</w:t>
            </w:r>
            <w:r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2</w:t>
            </w:r>
            <w:r w:rsidR="005539C6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770099" w:rsidRPr="00CD1EB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Grup</w:t>
            </w:r>
            <w:r w:rsidR="00872C41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a</w:t>
            </w:r>
            <w:r w:rsidR="00770099" w:rsidRPr="00CD1EB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FBSerwis</w:t>
            </w:r>
            <w:r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utrzymała wysoki poziom przychodów ze sprzedaży przy zachowaniu dobrej rentowności</w:t>
            </w:r>
          </w:p>
          <w:p w14:paraId="307553FE" w14:textId="1BF2A9BE" w:rsidR="00D4399C" w:rsidRDefault="00D4399C" w:rsidP="00D4399C">
            <w:pPr>
              <w:spacing w:line="360" w:lineRule="auto"/>
              <w:jc w:val="both"/>
              <w:rPr>
                <w:rStyle w:val="Odwoaniedokomentarza"/>
              </w:rPr>
            </w:pPr>
          </w:p>
          <w:p w14:paraId="47668C2E" w14:textId="73C903AD" w:rsidR="00D4399C" w:rsidRDefault="00872C41" w:rsidP="00D4399C">
            <w:pPr>
              <w:spacing w:line="360" w:lineRule="auto"/>
              <w:jc w:val="center"/>
              <w:rPr>
                <w:rStyle w:val="Odwoaniedokomentarza"/>
              </w:rPr>
            </w:pPr>
            <w:r w:rsidRPr="00872C41">
              <w:rPr>
                <w:rStyle w:val="Odwoaniedokomentarza"/>
                <w:noProof/>
              </w:rPr>
              <w:drawing>
                <wp:inline distT="0" distB="0" distL="0" distR="0" wp14:anchorId="027FB0D5" wp14:editId="682561DF">
                  <wp:extent cx="4197985" cy="16687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98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8D947" w14:textId="2EB7C819" w:rsidR="00B36AEC" w:rsidRPr="007C69AF" w:rsidRDefault="00B36AEC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bookmarkStart w:id="0" w:name="_Hlk70347627"/>
          </w:p>
          <w:p w14:paraId="32A8388B" w14:textId="13A9980D" w:rsidR="003B4665" w:rsidRDefault="00D74729" w:rsidP="003B466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bookmarkStart w:id="1" w:name="_Hlk100758814"/>
            <w:bookmarkEnd w:id="0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Przychody Grupy 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będącej kluczowym aktywem w ramach segmentu usługowego (wyniki części usługowej obejmują również działalności </w:t>
            </w:r>
            <w:r w:rsidR="00F35A2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kilku mniejszych spółek, w tym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Parking Wrocław)</w:t>
            </w:r>
            <w:r w:rsidR="00013F8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wyniosły </w:t>
            </w:r>
            <w:r w:rsidR="00872C4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369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i były </w:t>
            </w:r>
            <w:r w:rsidR="00872C4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nieco wyższe</w:t>
            </w:r>
            <w:r w:rsidR="000129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872C4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niż w analogicznym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okres</w:t>
            </w:r>
            <w:r w:rsidR="00872C4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 poprzedniego. </w:t>
            </w:r>
            <w:bookmarkStart w:id="2" w:name="_Hlk108780487"/>
            <w:r w:rsidR="009C5A9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Zysk operacyjny Grupy </w:t>
            </w:r>
            <w:proofErr w:type="spellStart"/>
            <w:r w:rsidR="009C5A9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 w:rsidR="009C5A9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wyniósł 38 milionów przy rentowności 10,2% </w:t>
            </w:r>
            <w:r w:rsidR="003252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9C5A9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porównaniu do 15,4%</w:t>
            </w:r>
            <w:r w:rsidR="003252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</w:t>
            </w:r>
            <w:r w:rsidR="009C5A9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analogicznym okresie roku poprzedniego. Spadek rentowności </w:t>
            </w:r>
            <w:r w:rsidR="003252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pierwszym półroczu 2022 roku wynika</w:t>
            </w:r>
            <w:r w:rsidR="00CE69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ł</w:t>
            </w:r>
            <w:r w:rsidR="003252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głównie z</w:t>
            </w:r>
            <w:r w:rsidR="000129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:</w:t>
            </w:r>
            <w:r w:rsidR="003252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niższych cen </w:t>
            </w:r>
            <w:r w:rsidR="003252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>w przetargach na odbiór i zagospodarowani</w:t>
            </w:r>
            <w:r w:rsidR="000129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="003252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odpadów rozstrzyganych na przełomie 2021 i 2022 roku. Aktualnie obserwujemy odwrócenie tego trendu – znaczny wzrost kosztów zagospodarowania przekłada się na wyższe ceny w nowych </w:t>
            </w:r>
            <w:r w:rsidR="004B5A3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postępowaniach</w:t>
            </w:r>
            <w:r w:rsidR="003252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9C5A9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3B466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części utrzymania infrastruktury </w:t>
            </w:r>
            <w:r w:rsidR="00CE69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odczuliśmy</w:t>
            </w:r>
            <w:r w:rsidR="003B466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przede wszystkim wzrost cen paliw. </w:t>
            </w:r>
          </w:p>
          <w:p w14:paraId="2C8C8DB0" w14:textId="7A8DEEF4" w:rsidR="00D74729" w:rsidRDefault="00D74729" w:rsidP="00D74729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3DBDAB0D" w14:textId="5D3A1B6C" w:rsidR="00145BBB" w:rsidRPr="004A1897" w:rsidRDefault="00AE2A15" w:rsidP="003C638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ostatnim czasie pozyskaliśmy kilka </w:t>
            </w:r>
            <w:r w:rsidR="0082749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ważnych dla nas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zleceń, zarówno w obszarze utrzymania infrastruktury</w:t>
            </w:r>
            <w:r w:rsidR="001C1E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jak i zagospodarowania odpadów</w:t>
            </w:r>
            <w:r w:rsidR="005A462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które pozwolą w pełni wykorzystać moce produkcyjne Grupy </w:t>
            </w:r>
            <w:proofErr w:type="spellStart"/>
            <w:r w:rsidR="005A462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 w:rsidR="005F78E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nadchodzących kwartałach. W </w:t>
            </w:r>
            <w:r w:rsidR="00A623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5F78E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obszarze </w:t>
            </w:r>
            <w:r w:rsidR="00BC0CA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infrastruktury</w:t>
            </w:r>
            <w:r w:rsidR="005F78E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to kontrakty na </w:t>
            </w:r>
            <w:r w:rsidR="00C14A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całoroczne </w:t>
            </w:r>
            <w:r w:rsidR="005F78E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utrzymanie </w:t>
            </w:r>
            <w:r w:rsidR="00C14A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dróg</w:t>
            </w:r>
            <w:r w:rsidR="00F5502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</w:t>
            </w:r>
            <w:r w:rsidR="004905D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</w:t>
            </w:r>
            <w:r w:rsidR="00F5502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ejonie Jędrzejowa, Starachowic i Wielunia o łącznej wartości ponad 150 milionów złotych. W segmencie usług środowiskowych </w:t>
            </w:r>
            <w:r w:rsidR="004E054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podpisaliśmy kolejną już umowę</w:t>
            </w:r>
            <w:r w:rsidR="00F5502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zagospodarowanie odpadów z </w:t>
            </w:r>
            <w:r w:rsidR="005F673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terenu</w:t>
            </w:r>
            <w:r w:rsidR="00F5502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Warszawy o wartości </w:t>
            </w:r>
            <w:r w:rsidR="00CA6F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45</w:t>
            </w:r>
            <w:r w:rsidR="00F5502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</w:t>
            </w:r>
            <w:r w:rsidR="004E054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5A462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Kontynuujemy</w:t>
            </w:r>
            <w:r w:rsidR="00D7472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inwestycj</w:t>
            </w:r>
            <w:r w:rsidR="005A462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</w:t>
            </w:r>
            <w:r w:rsidR="00D7472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rozbudowę istniejących instalacji przetwarzania odpadów oraz składowisk</w:t>
            </w:r>
            <w:r w:rsidR="001C1E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D7472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co pozwoli </w:t>
            </w:r>
            <w:r w:rsidR="005A462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stopniowo </w:t>
            </w:r>
            <w:r w:rsidR="00D7472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zwiększać skalę działalności wykorzystując posiadane zasoby. </w:t>
            </w:r>
            <w:r w:rsidR="005F673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1C1E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drugim</w:t>
            </w:r>
            <w:r w:rsidR="005F673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kwartale, z</w:t>
            </w:r>
            <w:r w:rsidR="005A462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godnie z</w:t>
            </w:r>
            <w:r w:rsidR="00A623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5A462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oczekiwaniami</w:t>
            </w:r>
            <w:r w:rsidR="005F673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r w:rsidR="005A462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sfinalizowaliśmy </w:t>
            </w:r>
            <w:r w:rsidR="00D7472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przejęcie firmy z branży gospodarki odpadami, </w:t>
            </w:r>
            <w:r w:rsidR="005F673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co dodatkowo wzmocni naszą pozycję w segmencie usług środowiskowych. </w:t>
            </w:r>
            <w:bookmarkEnd w:id="1"/>
            <w:bookmarkEnd w:id="2"/>
          </w:p>
          <w:p w14:paraId="3914380D" w14:textId="77777777" w:rsidR="00145BBB" w:rsidRDefault="00145BBB" w:rsidP="003C6385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09D89EB6" w14:textId="01129601" w:rsidR="006D546B" w:rsidRDefault="001C1EA7" w:rsidP="003C638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Perspektywy Grupy Budimex na kolejne kwartały wyglądają optymistycznie.</w:t>
            </w:r>
          </w:p>
          <w:p w14:paraId="27E044C4" w14:textId="77777777" w:rsidR="00747599" w:rsidRDefault="00747599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B2693A7" w14:textId="2D1FD1AB" w:rsidR="00747599" w:rsidRDefault="00CF024B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Aktualny portfel Grupy Budimex zamówień</w:t>
            </w:r>
            <w:r w:rsidR="00747599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zabezpiecza</w:t>
            </w:r>
            <w:r w:rsidR="00747599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front robót do końca</w:t>
            </w:r>
            <w:r w:rsidR="006B683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47599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2023 roku</w:t>
            </w:r>
            <w:r w:rsidR="00013F8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5F673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 nowo podpisywane kontrakty budują mocne fundamenty działalności na lata 2024-2025.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Patrząc na aktualną </w:t>
            </w:r>
            <w:r w:rsidR="00A623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sytuację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makroekonomiczną</w:t>
            </w:r>
            <w:r w:rsidR="00D567C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wahania cen materiałów </w:t>
            </w:r>
            <w:r w:rsidR="00D567C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niezmiennie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47599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podchodzimy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bardzo ostrożnie </w:t>
            </w:r>
            <w:r w:rsidR="00747599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 nowych ofert, rzetelnie </w:t>
            </w:r>
            <w:r w:rsidR="009C59A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747599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</w:t>
            </w:r>
            <w:r w:rsidR="007065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47599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odpowiedzialnie kalkulując kosztorysy</w:t>
            </w:r>
            <w:r w:rsidR="00154AF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F40DA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oraz</w:t>
            </w:r>
            <w:r w:rsidR="00154AF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oceniając potencjalne ryzyka związane </w:t>
            </w:r>
            <w:r w:rsidR="009C59A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154AF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 przyszłą realizacją</w:t>
            </w:r>
            <w:r w:rsidR="001C1E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umów</w:t>
            </w:r>
            <w:r w:rsidR="00154AF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558DA780" w14:textId="3F4A978E" w:rsidR="007065F1" w:rsidRDefault="007065F1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1414C9D" w14:textId="4044DA8B" w:rsidR="00DF554A" w:rsidRDefault="00DF554A" w:rsidP="00DF554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Pozytywnie oceniamy po</w:t>
            </w:r>
            <w:r w:rsidR="007404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niesienie limitów waloryzacji </w:t>
            </w:r>
            <w:r w:rsidR="00D567C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 kontraktach GDDKiA do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10%</w:t>
            </w:r>
            <w:r w:rsidR="00D567C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- jest to krok w dobrą stronę -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natomiast przy obecnej skali wzrostów cen materiałów i dwucyfrowej inflacji ciągle nie jest to wystarczając</w:t>
            </w:r>
            <w:r w:rsidR="00A164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poziom. </w:t>
            </w:r>
            <w:r w:rsidR="00D567C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Rozmawiamy także o zasadach waloryzacji z PKP PLK</w:t>
            </w:r>
            <w:r w:rsidR="00407F6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W przypadku inwestorów </w:t>
            </w:r>
            <w:r w:rsidR="00407F6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>prywatnych</w:t>
            </w:r>
            <w:r w:rsidR="000C214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po negocjacjach, </w:t>
            </w:r>
            <w:r w:rsidR="00407F6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większość godzi się na </w:t>
            </w:r>
            <w:r w:rsidR="005D03B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wyrównanie wyższych kosztów</w:t>
            </w:r>
            <w:r w:rsidR="00407F6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2BA4EDBE" w14:textId="77777777" w:rsidR="00DF554A" w:rsidRPr="00DC48AE" w:rsidRDefault="00DF554A" w:rsidP="0074759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193F11B" w14:textId="49BE45FE" w:rsidR="00407F67" w:rsidRPr="00407F67" w:rsidRDefault="00407F67" w:rsidP="00407F6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Konsekwentnie pracujemy nad rozwojem na rynkach ościennych. W ostatnich tygodniach wygraliśmy przetarg na budowę autostrady D1 </w:t>
            </w:r>
            <w:r w:rsidRPr="00407F6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Bratysława-</w:t>
            </w:r>
            <w:proofErr w:type="spellStart"/>
            <w:r w:rsidRPr="00407F6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Triblavina</w:t>
            </w:r>
            <w:proofErr w:type="spellEnd"/>
            <w:r w:rsidRPr="00407F6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 </w:t>
            </w:r>
            <w:r w:rsidR="00A164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407F6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długości 16,8 km w formule </w:t>
            </w:r>
            <w:r w:rsidR="001C1E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„</w:t>
            </w:r>
            <w:r w:rsidRPr="00407F6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projektuj i buduj</w:t>
            </w:r>
            <w:r w:rsidR="001C1E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”</w:t>
            </w:r>
            <w:r w:rsidRPr="00407F6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To dla nas krok milowy </w:t>
            </w:r>
            <w:r w:rsidR="001C1E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budowaniu </w:t>
            </w:r>
            <w:r w:rsidR="00A164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pozycji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ryn</w:t>
            </w:r>
            <w:r w:rsidR="00A164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owej na Słowacji. Jest to jednocześnie trzeci kontrakt wygrany za granicą od początku 2021 roku, kiedy podjęliśmy decyzję o ekspansji</w:t>
            </w:r>
            <w:r w:rsidR="001C1E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zagranicznej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(poprzednie dwa kontrakty pozyskaliśmy na rynku niemieckim). </w:t>
            </w:r>
          </w:p>
          <w:p w14:paraId="7C4126B2" w14:textId="77777777" w:rsidR="006514B7" w:rsidRPr="007065F1" w:rsidRDefault="006514B7" w:rsidP="004E367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E798687" w14:textId="0F289C76" w:rsidR="004E3670" w:rsidRPr="007065F1" w:rsidRDefault="00347532" w:rsidP="004E367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Kontynuujemy budowę naszej farmy wiatrowej</w:t>
            </w:r>
            <w:r w:rsidR="00CF05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CF05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Drachow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ie</w:t>
            </w:r>
            <w:r w:rsidR="00CF05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 mocy 7MW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CF05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Już w przyszłym roku rozpoczniemy produkcję zielonej energii</w:t>
            </w:r>
            <w:r w:rsidR="001C1E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6F215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 do 2026 roku chcemy być samowystarczalni energetycznie. Po zmianie ustawy </w:t>
            </w:r>
            <w:r w:rsidR="001C1E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„</w:t>
            </w:r>
            <w:r w:rsidR="006F215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10H</w:t>
            </w:r>
            <w:r w:rsidR="001C1E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”</w:t>
            </w:r>
            <w:r w:rsidR="006F215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patrzymy bardziej optymistycznie na możliwości pozyskania nowych projektów. Podejmujemy także pierwsze inwestycje w sieć punktów ładowania aut elektrycznych – planujemy stworzyć </w:t>
            </w:r>
            <w:r w:rsidR="00BC509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sieć takich</w:t>
            </w:r>
            <w:r w:rsidR="006F215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punktów w ciągu 4 lat. </w:t>
            </w:r>
          </w:p>
          <w:p w14:paraId="736AFC89" w14:textId="77777777" w:rsidR="000F734A" w:rsidRDefault="000F734A" w:rsidP="00BE794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59AE533" w14:textId="193AD468" w:rsidR="00A41D80" w:rsidRDefault="00760CE1" w:rsidP="00A41D8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8617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efekcie ogłoszonego w zeszłym roku konkursu Budimex Startup Challenge,  </w:t>
            </w:r>
            <w:r w:rsidR="00DF2419" w:rsidRPr="008617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rozpoczęliśmy pilotaż nowych systemów zarządzania energią w oparciu o AI i </w:t>
            </w:r>
            <w:proofErr w:type="spellStart"/>
            <w:r w:rsidR="00DF2419" w:rsidRPr="008617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machine</w:t>
            </w:r>
            <w:proofErr w:type="spellEnd"/>
            <w:r w:rsidR="00DF2419" w:rsidRPr="008617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learning. Zrealizowaliśmy także testy </w:t>
            </w:r>
            <w:proofErr w:type="spellStart"/>
            <w:r w:rsidR="00DF2419" w:rsidRPr="008617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tagów</w:t>
            </w:r>
            <w:proofErr w:type="spellEnd"/>
            <w:r w:rsidR="00DF2419" w:rsidRPr="008617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ochronnych na kaskach dla pracowników na budowach, umożliwiających automatyczny monitoring i przewidywanie kolizji pracownika z maszynami budowlanymi.</w:t>
            </w:r>
            <w:r w:rsidR="00DF2419" w:rsidRPr="00BE5B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</w:t>
            </w:r>
            <w:r w:rsidR="00DF24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prawdzamy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także</w:t>
            </w:r>
            <w:r w:rsidR="00DF2419" w:rsidRPr="004E16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automatyczn</w:t>
            </w:r>
            <w:r w:rsidR="00DF24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 w:rsidR="00DF2419" w:rsidRPr="004E16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monitoring w zakresie bezpieczeństwa BHP</w:t>
            </w:r>
            <w:r w:rsidR="00BC509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bookmarkStart w:id="3" w:name="_Hlk109380804"/>
          </w:p>
          <w:p w14:paraId="00F348EA" w14:textId="77777777" w:rsidR="004905D9" w:rsidRDefault="004905D9" w:rsidP="00A41D80">
            <w:pPr>
              <w:spacing w:line="360" w:lineRule="auto"/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14:paraId="0257D476" w14:textId="6E6B68E7" w:rsidR="00A41D80" w:rsidRDefault="00A41D80" w:rsidP="00A41D80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Rozpoczęliśmy współpracę z zespołem młodych naukowców OSA Team, którzy są zwycięzcami głównej nagrody Europejskiej Agencji Kosmicznej w konkursie </w:t>
            </w:r>
            <w:proofErr w:type="spellStart"/>
            <w:r>
              <w:rPr>
                <w:rFonts w:ascii="Tahoma" w:hAnsi="Tahoma" w:cs="Tahoma"/>
                <w:color w:val="808080"/>
                <w:sz w:val="18"/>
                <w:szCs w:val="18"/>
              </w:rPr>
              <w:t>CanSat</w:t>
            </w:r>
            <w:proofErr w:type="spellEnd"/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. W trakcie swojego płatnego stażu mieli możliwość pod okiem Zespołu ds. Innowacji Budimex SA </w:t>
            </w:r>
            <w:r w:rsidRPr="00A41D80">
              <w:rPr>
                <w:rFonts w:ascii="Tahoma" w:hAnsi="Tahoma" w:cs="Tahoma"/>
                <w:color w:val="808080"/>
                <w:sz w:val="18"/>
                <w:szCs w:val="18"/>
              </w:rPr>
              <w:t>pracować nad własnymi pomysłami</w:t>
            </w:r>
            <w:r>
              <w:rPr>
                <w:rFonts w:ascii="Tahoma" w:hAnsi="Tahoma" w:cs="Tahoma"/>
                <w:color w:val="92D050"/>
                <w:sz w:val="18"/>
                <w:szCs w:val="18"/>
              </w:rPr>
              <w:t xml:space="preserve"> </w:t>
            </w:r>
            <w:r w:rsidRPr="00A41D80">
              <w:rPr>
                <w:rFonts w:ascii="Tahoma" w:hAnsi="Tahoma" w:cs="Tahoma"/>
                <w:color w:val="80808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color w:val="92D050"/>
                <w:sz w:val="18"/>
                <w:szCs w:val="18"/>
              </w:rPr>
              <w:t xml:space="preserve">  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zaproponować usprawnienia w organizacji wykorzystując najnowocześniejszą technologię m.in. 3D czy </w:t>
            </w:r>
            <w:r w:rsidRPr="00A41D80">
              <w:rPr>
                <w:rFonts w:ascii="Tahoma" w:hAnsi="Tahoma" w:cs="Tahoma"/>
                <w:color w:val="808080"/>
                <w:sz w:val="18"/>
                <w:szCs w:val="18"/>
              </w:rPr>
              <w:t xml:space="preserve">Mixed </w:t>
            </w:r>
            <w:proofErr w:type="spellStart"/>
            <w:r w:rsidRPr="00A41D80">
              <w:rPr>
                <w:rFonts w:ascii="Tahoma" w:hAnsi="Tahoma" w:cs="Tahoma"/>
                <w:color w:val="808080"/>
                <w:sz w:val="18"/>
                <w:szCs w:val="18"/>
              </w:rPr>
              <w:t>Reality</w:t>
            </w:r>
            <w:proofErr w:type="spellEnd"/>
            <w:r w:rsidR="00D50C75">
              <w:rPr>
                <w:rFonts w:ascii="Tahoma" w:hAnsi="Tahoma" w:cs="Tahoma"/>
                <w:color w:val="70AD47"/>
                <w:sz w:val="18"/>
                <w:szCs w:val="18"/>
              </w:rPr>
              <w:t>.</w:t>
            </w:r>
          </w:p>
          <w:bookmarkEnd w:id="3"/>
          <w:p w14:paraId="5F05B66D" w14:textId="77777777" w:rsidR="00DF2419" w:rsidRPr="004E16B9" w:rsidRDefault="00DF2419" w:rsidP="00DF241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B327B6A" w14:textId="3A07A69E" w:rsidR="00760CE1" w:rsidRPr="009C0EBF" w:rsidRDefault="00760CE1" w:rsidP="00760CE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Zyskaliśmy tytuł „</w:t>
            </w:r>
            <w:r w:rsidRPr="00014E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Złot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ej</w:t>
            </w:r>
            <w:r w:rsidRPr="00014E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Mark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</w:t>
            </w:r>
            <w:r w:rsidRPr="00014E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Budowlan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ej</w:t>
            </w:r>
            <w:r w:rsidRPr="00014E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2022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”</w:t>
            </w:r>
            <w:r w:rsidRPr="00D72EF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5E0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ogólnopolskim badaniu przeprowadzonym wśród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300 pod</w:t>
            </w:r>
            <w:r w:rsidRPr="005E0C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wykonawców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budowlanych.</w:t>
            </w:r>
            <w:r w:rsidRPr="008F7C3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D72EF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Spośród dziesięciu czołowych generalnych wykonawców, stanęliśmy na pierwszym miejscu podium wśród firm polecanych jako partner do współdziałania, a także jako najlepszy partner pod względem warunków finansowych i terminów płatności.</w:t>
            </w:r>
            <w:r w:rsidRPr="008F7C3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345FF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Otrzymaliśmy </w:t>
            </w:r>
            <w:r w:rsidRPr="00D26D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nagrodę </w:t>
            </w:r>
            <w:r w:rsidRPr="00BE5BE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Top Builder </w:t>
            </w:r>
            <w:r w:rsidRPr="00D26D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 realizację Centrum Badań i Rozwoju</w:t>
            </w:r>
            <w:r w:rsidRPr="00345FF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PKN Orlen</w:t>
            </w:r>
            <w:r w:rsidR="0001291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Płocku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a Urząd Dozoru Technicznego wyróżnił Budimex za wysoki standard bezpieczeństwa technicznego.  </w:t>
            </w:r>
            <w:r w:rsidRPr="00C5700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Zdobyliśmy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również</w:t>
            </w:r>
            <w:r w:rsidRPr="00C5700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Biały Listek Polityki - wyróżnienie dla najbardziej odpowiedzialnych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C5700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 zaangażowanych społecznie firm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p w14:paraId="7AB55910" w14:textId="77777777" w:rsidR="00760CE1" w:rsidRPr="009C0EBF" w:rsidRDefault="00760CE1" w:rsidP="00760CE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A26A690" w14:textId="77777777" w:rsidR="00760CE1" w:rsidRDefault="00760CE1" w:rsidP="00760CE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014E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>Społeczna odpowiedzialność biznesu to w Budimeksie również długofalowe projekty wspierające m.in. mieszkańców społeczności sąsiadujących z prowadzonymi przez firmę budowami.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Uruchomiliśmy pierwszą z zaplanowanych w </w:t>
            </w:r>
            <w:r w:rsidRPr="004E16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tym roku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a czterdziestą z kolei</w:t>
            </w:r>
            <w:r w:rsidRPr="004E16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Stref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ę</w:t>
            </w:r>
            <w:r w:rsidRPr="004E16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Rodzica w Samodzielnym Publicznym Zakładzie Opieki Zdrowotnej Szpitala Powiatowego w Piszu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Budujemy następną w</w:t>
            </w:r>
            <w:r w:rsidRPr="004E16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Wojewódzkim Szpitalu Dziecięcym im. J. Brudzińskiego w Bydgoszczy.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 końca roku przekażemy też Strefy Rodzica w szpitalach w Ełku i w Szczecinie. </w:t>
            </w:r>
          </w:p>
          <w:p w14:paraId="57D09D94" w14:textId="77777777" w:rsidR="00760CE1" w:rsidRDefault="00760CE1" w:rsidP="00760CE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93A2A9A" w14:textId="77777777" w:rsidR="00760CE1" w:rsidRDefault="00760CE1" w:rsidP="00760CE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Zakończyliśmy drugą edycję programu „Dom z serca” – jest to inicjatywa </w:t>
            </w:r>
            <w:r w:rsidRPr="00921F5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społeczn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Pr="00921F5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Budime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ksu,</w:t>
            </w:r>
            <w:r w:rsidRPr="00921F5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mając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Pr="00921F5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celu pomoc rodzinom wielodzietnym. W ramach działania 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pomogliśmy</w:t>
            </w:r>
            <w:r w:rsidRPr="00921F5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ośmioosobowej rodzinie zmagającej się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 trudną sytuacją finansową i borykającej się z problemami zdrowotnymi dwójki dzieci. Łącząc siły z innymi firmami budowlanymi, dokończyliśmy budowę domu pani Iwony i pana Krzysztofa oraz wyposażyliśmy go „pod klucz".</w:t>
            </w:r>
          </w:p>
          <w:p w14:paraId="47814F1B" w14:textId="77777777" w:rsidR="00760CE1" w:rsidRPr="005E0C6C" w:rsidRDefault="00760CE1" w:rsidP="00760CE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6C48DB5" w14:textId="77777777" w:rsidR="00760CE1" w:rsidRPr="004E16B9" w:rsidRDefault="00760CE1" w:rsidP="00760CE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Nadal</w:t>
            </w:r>
            <w:r w:rsidRPr="00C9371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monitorujemy sytuację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związaną z konfliktem zbrojnym w Ukrainie i reagujemy na najpilniejsze potrzeby wschodnich sąsiadów.</w:t>
            </w:r>
            <w:r w:rsidRPr="00C9371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prośbę jednej z lwowskich szkół, pełniącej jednocześnie funkcję punktu dla uchodźców z bombardowanych terenów Ukrainy, dostarczyliśmy potrzebny do jej funkcjonowania generator prądu dużej mocy.</w:t>
            </w:r>
            <w:r w:rsidRPr="00C9371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</w:t>
            </w:r>
            <w:r w:rsidRPr="00C9371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efekcie dobrowolnej inicjatywy naszych pracowników, zebrano kwotę blisko 140 tys. zł. Jako pracodawca zdecydowaliśmy się podwoić tę kwotę i przeznaczyć ją na pomoc Ukrainie realizowaną przez Polski Czerwony Krzyż. Od momentu wybuchu wojny w Ukrainie, całkowita wartość pomocy ze strony Budimeksu dla Ukrainy, w tym naszych pracowników, wyniosła blisko 4 mln zł.</w:t>
            </w:r>
          </w:p>
          <w:p w14:paraId="676BC945" w14:textId="77777777" w:rsidR="00DF2419" w:rsidRPr="004E16B9" w:rsidRDefault="00DF2419" w:rsidP="00DF241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79BC3A6" w14:textId="5DAD9DE1" w:rsidR="00053E58" w:rsidRDefault="00053E58" w:rsidP="00053E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7AB3203" w14:textId="77777777" w:rsidR="00053E58" w:rsidRDefault="00053E58" w:rsidP="00053E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213B702" w14:textId="16E779C6" w:rsidR="003A74B7" w:rsidRDefault="003A74B7" w:rsidP="00053E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4BE80C7" w14:textId="18F15549" w:rsidR="00DE4D7D" w:rsidRPr="007C6D66" w:rsidRDefault="00DE4D7D" w:rsidP="00053E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331147F" w14:textId="1AE9126D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CEC1C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</w:tc>
      </w:tr>
    </w:tbl>
    <w:p w14:paraId="6E7F5698" w14:textId="7B88D0D5" w:rsidR="00D824D3" w:rsidRDefault="00D824D3" w:rsidP="00AD7834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7E15" w14:textId="77777777" w:rsidR="00E45AFC" w:rsidRDefault="00E45AFC">
      <w:pPr>
        <w:spacing w:after="0" w:line="240" w:lineRule="auto"/>
      </w:pPr>
      <w:r>
        <w:separator/>
      </w:r>
    </w:p>
  </w:endnote>
  <w:endnote w:type="continuationSeparator" w:id="0">
    <w:p w14:paraId="65B273E1" w14:textId="77777777" w:rsidR="00E45AFC" w:rsidRDefault="00E4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CACD" w14:textId="56DCCA7B" w:rsidR="00370F97" w:rsidRPr="00307B02" w:rsidRDefault="00370F97" w:rsidP="0037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hAnsi="Tahoma" w:cs="Tahoma"/>
        <w:color w:val="7F7F7F" w:themeColor="text1" w:themeTint="80"/>
        <w:sz w:val="12"/>
        <w:szCs w:val="12"/>
      </w:rPr>
    </w:pPr>
    <w:r w:rsidRPr="00307B02">
      <w:rPr>
        <w:rFonts w:ascii="Tahoma" w:hAnsi="Tahoma" w:cs="Tahoma"/>
        <w:color w:val="7F7F7F" w:themeColor="text1" w:themeTint="80"/>
        <w:sz w:val="12"/>
        <w:szCs w:val="12"/>
      </w:rPr>
      <w:t>*</w:t>
    </w:r>
    <w:r w:rsidRPr="00307B02">
      <w:rPr>
        <w:rFonts w:ascii="Tahoma" w:eastAsia="Tahoma" w:hAnsi="Tahoma" w:cs="Tahoma"/>
        <w:bCs/>
        <w:color w:val="7F7F7F" w:themeColor="text1" w:themeTint="80"/>
        <w:sz w:val="12"/>
        <w:szCs w:val="12"/>
      </w:rPr>
      <w:t xml:space="preserve"> rozliczeni</w:t>
    </w:r>
    <w:r w:rsidR="00525892">
      <w:rPr>
        <w:rFonts w:ascii="Tahoma" w:eastAsia="Tahoma" w:hAnsi="Tahoma" w:cs="Tahoma"/>
        <w:bCs/>
        <w:color w:val="7F7F7F" w:themeColor="text1" w:themeTint="80"/>
        <w:sz w:val="12"/>
        <w:szCs w:val="12"/>
      </w:rPr>
      <w:t>e</w:t>
    </w:r>
    <w:r w:rsidRPr="00307B02">
      <w:rPr>
        <w:rFonts w:ascii="Tahoma" w:eastAsia="Tahoma" w:hAnsi="Tahoma" w:cs="Tahoma"/>
        <w:bCs/>
        <w:color w:val="7F7F7F" w:themeColor="text1" w:themeTint="80"/>
        <w:sz w:val="12"/>
        <w:szCs w:val="12"/>
      </w:rPr>
      <w:t xml:space="preserve"> wyniku na transakcjach pomiędzy segmentem budowlanym i deweloperskim w wysokości 68 milionów złotych w związku ze sprzedażą Budimex Nieruchomości</w:t>
    </w:r>
  </w:p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7C9E" w14:textId="77777777" w:rsidR="00E45AFC" w:rsidRDefault="00E45AFC">
      <w:pPr>
        <w:spacing w:after="0" w:line="240" w:lineRule="auto"/>
      </w:pPr>
      <w:r>
        <w:separator/>
      </w:r>
    </w:p>
  </w:footnote>
  <w:footnote w:type="continuationSeparator" w:id="0">
    <w:p w14:paraId="214AB4E4" w14:textId="77777777" w:rsidR="00E45AFC" w:rsidRDefault="00E4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BB07B9"/>
    <w:multiLevelType w:val="hybridMultilevel"/>
    <w:tmpl w:val="FFAAB1F4"/>
    <w:lvl w:ilvl="0" w:tplc="4C107D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2B8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673944237">
    <w:abstractNumId w:val="0"/>
  </w:num>
  <w:num w:numId="2" w16cid:durableId="454641844">
    <w:abstractNumId w:val="5"/>
  </w:num>
  <w:num w:numId="3" w16cid:durableId="905723979">
    <w:abstractNumId w:val="2"/>
  </w:num>
  <w:num w:numId="4" w16cid:durableId="931283998">
    <w:abstractNumId w:val="3"/>
  </w:num>
  <w:num w:numId="5" w16cid:durableId="298803442">
    <w:abstractNumId w:val="4"/>
  </w:num>
  <w:num w:numId="6" w16cid:durableId="157824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3"/>
    <w:rsid w:val="0000116D"/>
    <w:rsid w:val="00002FA2"/>
    <w:rsid w:val="00005901"/>
    <w:rsid w:val="0001222E"/>
    <w:rsid w:val="00012918"/>
    <w:rsid w:val="00013F8F"/>
    <w:rsid w:val="000150C1"/>
    <w:rsid w:val="000154BF"/>
    <w:rsid w:val="0001727E"/>
    <w:rsid w:val="00022253"/>
    <w:rsid w:val="00027A52"/>
    <w:rsid w:val="00033E4A"/>
    <w:rsid w:val="00033EEE"/>
    <w:rsid w:val="0003691C"/>
    <w:rsid w:val="00044B01"/>
    <w:rsid w:val="000471E4"/>
    <w:rsid w:val="00053E58"/>
    <w:rsid w:val="000602EE"/>
    <w:rsid w:val="00061F85"/>
    <w:rsid w:val="0006314F"/>
    <w:rsid w:val="000644F6"/>
    <w:rsid w:val="00083EB2"/>
    <w:rsid w:val="0008411D"/>
    <w:rsid w:val="00084D2C"/>
    <w:rsid w:val="000908AD"/>
    <w:rsid w:val="000935B7"/>
    <w:rsid w:val="00093C5B"/>
    <w:rsid w:val="00094318"/>
    <w:rsid w:val="00094B47"/>
    <w:rsid w:val="00096E60"/>
    <w:rsid w:val="000A0D19"/>
    <w:rsid w:val="000A29DB"/>
    <w:rsid w:val="000A4C94"/>
    <w:rsid w:val="000B570C"/>
    <w:rsid w:val="000B7985"/>
    <w:rsid w:val="000C0857"/>
    <w:rsid w:val="000C214E"/>
    <w:rsid w:val="000C60FB"/>
    <w:rsid w:val="000D4CA2"/>
    <w:rsid w:val="000D51F1"/>
    <w:rsid w:val="000E4D10"/>
    <w:rsid w:val="000E6536"/>
    <w:rsid w:val="000F5015"/>
    <w:rsid w:val="000F734A"/>
    <w:rsid w:val="00103FBA"/>
    <w:rsid w:val="00106347"/>
    <w:rsid w:val="00107A4A"/>
    <w:rsid w:val="00120F42"/>
    <w:rsid w:val="00125739"/>
    <w:rsid w:val="00131EA2"/>
    <w:rsid w:val="00135A1E"/>
    <w:rsid w:val="001378BE"/>
    <w:rsid w:val="001415FC"/>
    <w:rsid w:val="00145BBB"/>
    <w:rsid w:val="0015239C"/>
    <w:rsid w:val="00154AF9"/>
    <w:rsid w:val="001622C7"/>
    <w:rsid w:val="00164288"/>
    <w:rsid w:val="001652FF"/>
    <w:rsid w:val="0016660D"/>
    <w:rsid w:val="00171E71"/>
    <w:rsid w:val="00176796"/>
    <w:rsid w:val="00176B23"/>
    <w:rsid w:val="00180DCA"/>
    <w:rsid w:val="00183716"/>
    <w:rsid w:val="00184033"/>
    <w:rsid w:val="00184B5B"/>
    <w:rsid w:val="0019013E"/>
    <w:rsid w:val="001906A3"/>
    <w:rsid w:val="00191813"/>
    <w:rsid w:val="00192F14"/>
    <w:rsid w:val="00193800"/>
    <w:rsid w:val="00196E4D"/>
    <w:rsid w:val="001A13BD"/>
    <w:rsid w:val="001A4444"/>
    <w:rsid w:val="001A4687"/>
    <w:rsid w:val="001A5E03"/>
    <w:rsid w:val="001B1411"/>
    <w:rsid w:val="001B18F8"/>
    <w:rsid w:val="001B3A88"/>
    <w:rsid w:val="001B53AC"/>
    <w:rsid w:val="001C1EA7"/>
    <w:rsid w:val="001C6BED"/>
    <w:rsid w:val="001C78CD"/>
    <w:rsid w:val="001D12F7"/>
    <w:rsid w:val="001D1508"/>
    <w:rsid w:val="001D3BBF"/>
    <w:rsid w:val="001D3BFB"/>
    <w:rsid w:val="001D6D47"/>
    <w:rsid w:val="001E2FCE"/>
    <w:rsid w:val="001E5D2F"/>
    <w:rsid w:val="001E5F16"/>
    <w:rsid w:val="001E6465"/>
    <w:rsid w:val="001E655D"/>
    <w:rsid w:val="001F1ABE"/>
    <w:rsid w:val="001F3AC1"/>
    <w:rsid w:val="001F3B78"/>
    <w:rsid w:val="001F540C"/>
    <w:rsid w:val="00200282"/>
    <w:rsid w:val="00205C0B"/>
    <w:rsid w:val="00207D56"/>
    <w:rsid w:val="00210B3A"/>
    <w:rsid w:val="00210B70"/>
    <w:rsid w:val="0021267C"/>
    <w:rsid w:val="0022070B"/>
    <w:rsid w:val="00221758"/>
    <w:rsid w:val="002332A6"/>
    <w:rsid w:val="00234145"/>
    <w:rsid w:val="00235BCA"/>
    <w:rsid w:val="0023777F"/>
    <w:rsid w:val="00241059"/>
    <w:rsid w:val="002431E6"/>
    <w:rsid w:val="002451CA"/>
    <w:rsid w:val="00246369"/>
    <w:rsid w:val="00247108"/>
    <w:rsid w:val="002560E2"/>
    <w:rsid w:val="002572B2"/>
    <w:rsid w:val="0026041E"/>
    <w:rsid w:val="002606E5"/>
    <w:rsid w:val="0026199D"/>
    <w:rsid w:val="002666B2"/>
    <w:rsid w:val="00270259"/>
    <w:rsid w:val="002705D2"/>
    <w:rsid w:val="00271E13"/>
    <w:rsid w:val="00276417"/>
    <w:rsid w:val="002773EE"/>
    <w:rsid w:val="002831E6"/>
    <w:rsid w:val="00283ABB"/>
    <w:rsid w:val="00286464"/>
    <w:rsid w:val="00287756"/>
    <w:rsid w:val="00291889"/>
    <w:rsid w:val="002925D8"/>
    <w:rsid w:val="002A381C"/>
    <w:rsid w:val="002A5397"/>
    <w:rsid w:val="002A572C"/>
    <w:rsid w:val="002A6649"/>
    <w:rsid w:val="002A6E36"/>
    <w:rsid w:val="002B24AA"/>
    <w:rsid w:val="002B2FB1"/>
    <w:rsid w:val="002B47CE"/>
    <w:rsid w:val="002B6DA6"/>
    <w:rsid w:val="002B6F72"/>
    <w:rsid w:val="002C0A13"/>
    <w:rsid w:val="002C4D36"/>
    <w:rsid w:val="002C6D3B"/>
    <w:rsid w:val="002C71F2"/>
    <w:rsid w:val="002D0A73"/>
    <w:rsid w:val="002E348B"/>
    <w:rsid w:val="002E4678"/>
    <w:rsid w:val="002E4732"/>
    <w:rsid w:val="002F2A15"/>
    <w:rsid w:val="002F35F7"/>
    <w:rsid w:val="002F7454"/>
    <w:rsid w:val="003023A0"/>
    <w:rsid w:val="0030310D"/>
    <w:rsid w:val="00310980"/>
    <w:rsid w:val="00312C4B"/>
    <w:rsid w:val="00314819"/>
    <w:rsid w:val="0031612E"/>
    <w:rsid w:val="00323D83"/>
    <w:rsid w:val="003252BD"/>
    <w:rsid w:val="00330315"/>
    <w:rsid w:val="00330932"/>
    <w:rsid w:val="00335E0E"/>
    <w:rsid w:val="003371B4"/>
    <w:rsid w:val="00337C34"/>
    <w:rsid w:val="00337F4C"/>
    <w:rsid w:val="003413EC"/>
    <w:rsid w:val="00343F41"/>
    <w:rsid w:val="00346FA9"/>
    <w:rsid w:val="00347532"/>
    <w:rsid w:val="00352719"/>
    <w:rsid w:val="00356480"/>
    <w:rsid w:val="00360B0E"/>
    <w:rsid w:val="00370F97"/>
    <w:rsid w:val="003711C0"/>
    <w:rsid w:val="003734D3"/>
    <w:rsid w:val="00374264"/>
    <w:rsid w:val="00375A37"/>
    <w:rsid w:val="00377098"/>
    <w:rsid w:val="00380BE2"/>
    <w:rsid w:val="00382683"/>
    <w:rsid w:val="0038295F"/>
    <w:rsid w:val="00383BB6"/>
    <w:rsid w:val="00384766"/>
    <w:rsid w:val="0038504E"/>
    <w:rsid w:val="003858D5"/>
    <w:rsid w:val="00391753"/>
    <w:rsid w:val="00392AC2"/>
    <w:rsid w:val="003A0B81"/>
    <w:rsid w:val="003A74B7"/>
    <w:rsid w:val="003B2692"/>
    <w:rsid w:val="003B3277"/>
    <w:rsid w:val="003B4665"/>
    <w:rsid w:val="003C0EF3"/>
    <w:rsid w:val="003C2CDF"/>
    <w:rsid w:val="003C6385"/>
    <w:rsid w:val="003C69DD"/>
    <w:rsid w:val="003D3455"/>
    <w:rsid w:val="003D46A5"/>
    <w:rsid w:val="003D4B50"/>
    <w:rsid w:val="003D66BD"/>
    <w:rsid w:val="003D68B8"/>
    <w:rsid w:val="003E1C5E"/>
    <w:rsid w:val="003E4795"/>
    <w:rsid w:val="003F0366"/>
    <w:rsid w:val="003F479C"/>
    <w:rsid w:val="00402753"/>
    <w:rsid w:val="00406D9D"/>
    <w:rsid w:val="00407F67"/>
    <w:rsid w:val="0042081D"/>
    <w:rsid w:val="004226D7"/>
    <w:rsid w:val="00423508"/>
    <w:rsid w:val="00424ADA"/>
    <w:rsid w:val="00426430"/>
    <w:rsid w:val="0044439A"/>
    <w:rsid w:val="00447762"/>
    <w:rsid w:val="00450B7A"/>
    <w:rsid w:val="004510B2"/>
    <w:rsid w:val="00452E75"/>
    <w:rsid w:val="00453309"/>
    <w:rsid w:val="00456535"/>
    <w:rsid w:val="00456600"/>
    <w:rsid w:val="00456A67"/>
    <w:rsid w:val="004609BE"/>
    <w:rsid w:val="0046106B"/>
    <w:rsid w:val="00463013"/>
    <w:rsid w:val="00463DBB"/>
    <w:rsid w:val="00464544"/>
    <w:rsid w:val="00467362"/>
    <w:rsid w:val="00467924"/>
    <w:rsid w:val="00471B82"/>
    <w:rsid w:val="004763AA"/>
    <w:rsid w:val="00486407"/>
    <w:rsid w:val="004905D9"/>
    <w:rsid w:val="00493212"/>
    <w:rsid w:val="004A002F"/>
    <w:rsid w:val="004A1897"/>
    <w:rsid w:val="004A25A7"/>
    <w:rsid w:val="004A2737"/>
    <w:rsid w:val="004A417F"/>
    <w:rsid w:val="004A4455"/>
    <w:rsid w:val="004B19B6"/>
    <w:rsid w:val="004B4F60"/>
    <w:rsid w:val="004B5A39"/>
    <w:rsid w:val="004C1457"/>
    <w:rsid w:val="004C2725"/>
    <w:rsid w:val="004D0CC7"/>
    <w:rsid w:val="004D1903"/>
    <w:rsid w:val="004D5354"/>
    <w:rsid w:val="004D578B"/>
    <w:rsid w:val="004D57DB"/>
    <w:rsid w:val="004D5A7C"/>
    <w:rsid w:val="004D6574"/>
    <w:rsid w:val="004D7BB2"/>
    <w:rsid w:val="004E039F"/>
    <w:rsid w:val="004E053D"/>
    <w:rsid w:val="004E0543"/>
    <w:rsid w:val="004E25E2"/>
    <w:rsid w:val="004E3670"/>
    <w:rsid w:val="004E3BF3"/>
    <w:rsid w:val="004E4375"/>
    <w:rsid w:val="004E514D"/>
    <w:rsid w:val="004E664B"/>
    <w:rsid w:val="004E7219"/>
    <w:rsid w:val="004E7872"/>
    <w:rsid w:val="004E799B"/>
    <w:rsid w:val="004F5F2B"/>
    <w:rsid w:val="004F656D"/>
    <w:rsid w:val="0050050B"/>
    <w:rsid w:val="0050128F"/>
    <w:rsid w:val="005030B7"/>
    <w:rsid w:val="00503853"/>
    <w:rsid w:val="00513957"/>
    <w:rsid w:val="00517459"/>
    <w:rsid w:val="00522CB9"/>
    <w:rsid w:val="00523279"/>
    <w:rsid w:val="0052392A"/>
    <w:rsid w:val="00523965"/>
    <w:rsid w:val="00525892"/>
    <w:rsid w:val="00526136"/>
    <w:rsid w:val="005319A4"/>
    <w:rsid w:val="0053398D"/>
    <w:rsid w:val="0053503C"/>
    <w:rsid w:val="005403F2"/>
    <w:rsid w:val="00543269"/>
    <w:rsid w:val="00544A7C"/>
    <w:rsid w:val="005462C9"/>
    <w:rsid w:val="0055003D"/>
    <w:rsid w:val="00551364"/>
    <w:rsid w:val="00552AF7"/>
    <w:rsid w:val="00553801"/>
    <w:rsid w:val="005539C6"/>
    <w:rsid w:val="00556C60"/>
    <w:rsid w:val="0056066B"/>
    <w:rsid w:val="005623F5"/>
    <w:rsid w:val="00562455"/>
    <w:rsid w:val="00563A0B"/>
    <w:rsid w:val="005717E9"/>
    <w:rsid w:val="00574EC5"/>
    <w:rsid w:val="0058424C"/>
    <w:rsid w:val="00584EAB"/>
    <w:rsid w:val="0059770F"/>
    <w:rsid w:val="00597B7F"/>
    <w:rsid w:val="005A462A"/>
    <w:rsid w:val="005A5043"/>
    <w:rsid w:val="005B039B"/>
    <w:rsid w:val="005B155B"/>
    <w:rsid w:val="005B248C"/>
    <w:rsid w:val="005B3CF6"/>
    <w:rsid w:val="005B5026"/>
    <w:rsid w:val="005B6342"/>
    <w:rsid w:val="005C07AB"/>
    <w:rsid w:val="005C58F7"/>
    <w:rsid w:val="005C7276"/>
    <w:rsid w:val="005D03B3"/>
    <w:rsid w:val="005D25D3"/>
    <w:rsid w:val="005D7C59"/>
    <w:rsid w:val="005E0107"/>
    <w:rsid w:val="005E090C"/>
    <w:rsid w:val="005E2831"/>
    <w:rsid w:val="005E3E65"/>
    <w:rsid w:val="005E4881"/>
    <w:rsid w:val="005F1CF1"/>
    <w:rsid w:val="005F279F"/>
    <w:rsid w:val="005F3B41"/>
    <w:rsid w:val="005F4BD2"/>
    <w:rsid w:val="005F65B4"/>
    <w:rsid w:val="005F673F"/>
    <w:rsid w:val="005F6802"/>
    <w:rsid w:val="005F6D3C"/>
    <w:rsid w:val="005F75ED"/>
    <w:rsid w:val="005F78EB"/>
    <w:rsid w:val="005F7CFF"/>
    <w:rsid w:val="00607CC8"/>
    <w:rsid w:val="00610F49"/>
    <w:rsid w:val="00611BD0"/>
    <w:rsid w:val="006137A4"/>
    <w:rsid w:val="00615980"/>
    <w:rsid w:val="006217C8"/>
    <w:rsid w:val="006221EC"/>
    <w:rsid w:val="00624E80"/>
    <w:rsid w:val="006273F5"/>
    <w:rsid w:val="006335D0"/>
    <w:rsid w:val="00634818"/>
    <w:rsid w:val="00636727"/>
    <w:rsid w:val="00636F6F"/>
    <w:rsid w:val="0064310D"/>
    <w:rsid w:val="00650F76"/>
    <w:rsid w:val="006511B1"/>
    <w:rsid w:val="006514B7"/>
    <w:rsid w:val="00651C6F"/>
    <w:rsid w:val="00652414"/>
    <w:rsid w:val="00653204"/>
    <w:rsid w:val="00654549"/>
    <w:rsid w:val="00660924"/>
    <w:rsid w:val="00660A27"/>
    <w:rsid w:val="00661489"/>
    <w:rsid w:val="00661E49"/>
    <w:rsid w:val="00662B0E"/>
    <w:rsid w:val="00665EE0"/>
    <w:rsid w:val="0067655C"/>
    <w:rsid w:val="00682320"/>
    <w:rsid w:val="00684AEF"/>
    <w:rsid w:val="00685FB2"/>
    <w:rsid w:val="006908D3"/>
    <w:rsid w:val="00691304"/>
    <w:rsid w:val="006913B6"/>
    <w:rsid w:val="006943AF"/>
    <w:rsid w:val="006A1C56"/>
    <w:rsid w:val="006B12A4"/>
    <w:rsid w:val="006B342C"/>
    <w:rsid w:val="006B4024"/>
    <w:rsid w:val="006B4545"/>
    <w:rsid w:val="006B4A0C"/>
    <w:rsid w:val="006B4EE8"/>
    <w:rsid w:val="006B683D"/>
    <w:rsid w:val="006B7429"/>
    <w:rsid w:val="006D060D"/>
    <w:rsid w:val="006D5288"/>
    <w:rsid w:val="006D546B"/>
    <w:rsid w:val="006D640A"/>
    <w:rsid w:val="006D721C"/>
    <w:rsid w:val="006E130B"/>
    <w:rsid w:val="006E238E"/>
    <w:rsid w:val="006E566D"/>
    <w:rsid w:val="006E5944"/>
    <w:rsid w:val="006E61C6"/>
    <w:rsid w:val="006E716B"/>
    <w:rsid w:val="006F215D"/>
    <w:rsid w:val="006F30C5"/>
    <w:rsid w:val="006F3FA9"/>
    <w:rsid w:val="007012C0"/>
    <w:rsid w:val="00702E01"/>
    <w:rsid w:val="007036B9"/>
    <w:rsid w:val="00703F19"/>
    <w:rsid w:val="00704F7D"/>
    <w:rsid w:val="00705048"/>
    <w:rsid w:val="007065F1"/>
    <w:rsid w:val="00707906"/>
    <w:rsid w:val="0071028C"/>
    <w:rsid w:val="00710618"/>
    <w:rsid w:val="00710E33"/>
    <w:rsid w:val="00712B2C"/>
    <w:rsid w:val="007143D6"/>
    <w:rsid w:val="007157E1"/>
    <w:rsid w:val="007172F7"/>
    <w:rsid w:val="00717A8C"/>
    <w:rsid w:val="00725A96"/>
    <w:rsid w:val="00726BDF"/>
    <w:rsid w:val="00734DF8"/>
    <w:rsid w:val="007404AE"/>
    <w:rsid w:val="007426FD"/>
    <w:rsid w:val="007429FA"/>
    <w:rsid w:val="00747599"/>
    <w:rsid w:val="00756852"/>
    <w:rsid w:val="00760CE1"/>
    <w:rsid w:val="00762BB9"/>
    <w:rsid w:val="007659C0"/>
    <w:rsid w:val="00770099"/>
    <w:rsid w:val="007724D1"/>
    <w:rsid w:val="00775CAB"/>
    <w:rsid w:val="00777A92"/>
    <w:rsid w:val="00794031"/>
    <w:rsid w:val="007A6067"/>
    <w:rsid w:val="007B4EE7"/>
    <w:rsid w:val="007C030F"/>
    <w:rsid w:val="007C3807"/>
    <w:rsid w:val="007C69AF"/>
    <w:rsid w:val="007C6D66"/>
    <w:rsid w:val="007C79AA"/>
    <w:rsid w:val="007D043C"/>
    <w:rsid w:val="007D1D38"/>
    <w:rsid w:val="007D5978"/>
    <w:rsid w:val="007D5D8C"/>
    <w:rsid w:val="007D6975"/>
    <w:rsid w:val="007D7046"/>
    <w:rsid w:val="007D790E"/>
    <w:rsid w:val="007D7917"/>
    <w:rsid w:val="007E19BC"/>
    <w:rsid w:val="007F0AAC"/>
    <w:rsid w:val="007F4369"/>
    <w:rsid w:val="007F54CB"/>
    <w:rsid w:val="007F775D"/>
    <w:rsid w:val="00803A9E"/>
    <w:rsid w:val="00804DC5"/>
    <w:rsid w:val="00806358"/>
    <w:rsid w:val="00806625"/>
    <w:rsid w:val="008071F7"/>
    <w:rsid w:val="0080729F"/>
    <w:rsid w:val="00807C4C"/>
    <w:rsid w:val="00810CB0"/>
    <w:rsid w:val="00811901"/>
    <w:rsid w:val="00815619"/>
    <w:rsid w:val="00815E45"/>
    <w:rsid w:val="008230DA"/>
    <w:rsid w:val="00824271"/>
    <w:rsid w:val="00825FA7"/>
    <w:rsid w:val="00827494"/>
    <w:rsid w:val="008373EA"/>
    <w:rsid w:val="00840917"/>
    <w:rsid w:val="00841029"/>
    <w:rsid w:val="00850178"/>
    <w:rsid w:val="00850757"/>
    <w:rsid w:val="0085210D"/>
    <w:rsid w:val="00854FCC"/>
    <w:rsid w:val="008617BD"/>
    <w:rsid w:val="0086463D"/>
    <w:rsid w:val="00867B13"/>
    <w:rsid w:val="00870F41"/>
    <w:rsid w:val="00871CAB"/>
    <w:rsid w:val="00872C41"/>
    <w:rsid w:val="0087588D"/>
    <w:rsid w:val="00875D93"/>
    <w:rsid w:val="00882D2B"/>
    <w:rsid w:val="00887135"/>
    <w:rsid w:val="00890BCD"/>
    <w:rsid w:val="00893D6E"/>
    <w:rsid w:val="00895F6D"/>
    <w:rsid w:val="00896224"/>
    <w:rsid w:val="008A0044"/>
    <w:rsid w:val="008A1549"/>
    <w:rsid w:val="008A32BF"/>
    <w:rsid w:val="008A6A8C"/>
    <w:rsid w:val="008B17C9"/>
    <w:rsid w:val="008B19CA"/>
    <w:rsid w:val="008B1D6D"/>
    <w:rsid w:val="008C2D2B"/>
    <w:rsid w:val="008C3396"/>
    <w:rsid w:val="008C3407"/>
    <w:rsid w:val="008D1ACD"/>
    <w:rsid w:val="008D3344"/>
    <w:rsid w:val="008D3B53"/>
    <w:rsid w:val="008D6295"/>
    <w:rsid w:val="008E179B"/>
    <w:rsid w:val="008E49DC"/>
    <w:rsid w:val="008E5974"/>
    <w:rsid w:val="008F0F82"/>
    <w:rsid w:val="008F47AB"/>
    <w:rsid w:val="008F662C"/>
    <w:rsid w:val="008F7C3D"/>
    <w:rsid w:val="009004D4"/>
    <w:rsid w:val="00903035"/>
    <w:rsid w:val="009060CB"/>
    <w:rsid w:val="00917E35"/>
    <w:rsid w:val="00917F22"/>
    <w:rsid w:val="00925421"/>
    <w:rsid w:val="00925F96"/>
    <w:rsid w:val="00926AB4"/>
    <w:rsid w:val="00934E3C"/>
    <w:rsid w:val="00935CAC"/>
    <w:rsid w:val="009412FA"/>
    <w:rsid w:val="009423FC"/>
    <w:rsid w:val="009440A3"/>
    <w:rsid w:val="00950989"/>
    <w:rsid w:val="00950CD1"/>
    <w:rsid w:val="00953058"/>
    <w:rsid w:val="0095559D"/>
    <w:rsid w:val="00957FF3"/>
    <w:rsid w:val="00980272"/>
    <w:rsid w:val="00985437"/>
    <w:rsid w:val="00985A8D"/>
    <w:rsid w:val="00985D5B"/>
    <w:rsid w:val="00986024"/>
    <w:rsid w:val="0099010B"/>
    <w:rsid w:val="009923E1"/>
    <w:rsid w:val="009934D7"/>
    <w:rsid w:val="00994892"/>
    <w:rsid w:val="009966F7"/>
    <w:rsid w:val="009A0BA1"/>
    <w:rsid w:val="009A2A41"/>
    <w:rsid w:val="009A6A6A"/>
    <w:rsid w:val="009B023E"/>
    <w:rsid w:val="009B24AE"/>
    <w:rsid w:val="009B5EAF"/>
    <w:rsid w:val="009B7B45"/>
    <w:rsid w:val="009C59A0"/>
    <w:rsid w:val="009C5A96"/>
    <w:rsid w:val="009C6F68"/>
    <w:rsid w:val="009C79F3"/>
    <w:rsid w:val="009C7D4A"/>
    <w:rsid w:val="009C7EB1"/>
    <w:rsid w:val="009D744F"/>
    <w:rsid w:val="009E34F6"/>
    <w:rsid w:val="009E4C4D"/>
    <w:rsid w:val="009E667B"/>
    <w:rsid w:val="009F768E"/>
    <w:rsid w:val="00A01C61"/>
    <w:rsid w:val="00A04EE4"/>
    <w:rsid w:val="00A13CA8"/>
    <w:rsid w:val="00A164AD"/>
    <w:rsid w:val="00A2774D"/>
    <w:rsid w:val="00A30799"/>
    <w:rsid w:val="00A356C3"/>
    <w:rsid w:val="00A405AF"/>
    <w:rsid w:val="00A40E99"/>
    <w:rsid w:val="00A41D80"/>
    <w:rsid w:val="00A427E8"/>
    <w:rsid w:val="00A508CB"/>
    <w:rsid w:val="00A542E3"/>
    <w:rsid w:val="00A56E7C"/>
    <w:rsid w:val="00A623FA"/>
    <w:rsid w:val="00A66652"/>
    <w:rsid w:val="00A70255"/>
    <w:rsid w:val="00A70580"/>
    <w:rsid w:val="00A75A99"/>
    <w:rsid w:val="00A85A81"/>
    <w:rsid w:val="00A9414D"/>
    <w:rsid w:val="00A94DDE"/>
    <w:rsid w:val="00A95921"/>
    <w:rsid w:val="00AA6CD3"/>
    <w:rsid w:val="00AA6F3B"/>
    <w:rsid w:val="00AB0617"/>
    <w:rsid w:val="00AB0BC8"/>
    <w:rsid w:val="00AB123B"/>
    <w:rsid w:val="00AB2D79"/>
    <w:rsid w:val="00AB2DD9"/>
    <w:rsid w:val="00AB5794"/>
    <w:rsid w:val="00AC4603"/>
    <w:rsid w:val="00AC6E6F"/>
    <w:rsid w:val="00AD1935"/>
    <w:rsid w:val="00AD1A09"/>
    <w:rsid w:val="00AD7834"/>
    <w:rsid w:val="00AD7A82"/>
    <w:rsid w:val="00AE2A15"/>
    <w:rsid w:val="00AE43FD"/>
    <w:rsid w:val="00AE4646"/>
    <w:rsid w:val="00AE7510"/>
    <w:rsid w:val="00AF215D"/>
    <w:rsid w:val="00AF4889"/>
    <w:rsid w:val="00B011E4"/>
    <w:rsid w:val="00B03683"/>
    <w:rsid w:val="00B11EAE"/>
    <w:rsid w:val="00B133ED"/>
    <w:rsid w:val="00B2487A"/>
    <w:rsid w:val="00B256B5"/>
    <w:rsid w:val="00B31685"/>
    <w:rsid w:val="00B349A1"/>
    <w:rsid w:val="00B36AEC"/>
    <w:rsid w:val="00B37B89"/>
    <w:rsid w:val="00B40E99"/>
    <w:rsid w:val="00B45602"/>
    <w:rsid w:val="00B47F50"/>
    <w:rsid w:val="00B50CA0"/>
    <w:rsid w:val="00B51181"/>
    <w:rsid w:val="00B51709"/>
    <w:rsid w:val="00B5735A"/>
    <w:rsid w:val="00B60995"/>
    <w:rsid w:val="00B63B5B"/>
    <w:rsid w:val="00B669D5"/>
    <w:rsid w:val="00B6783C"/>
    <w:rsid w:val="00B72AF4"/>
    <w:rsid w:val="00B7408F"/>
    <w:rsid w:val="00B763A5"/>
    <w:rsid w:val="00B76DEA"/>
    <w:rsid w:val="00B83EAA"/>
    <w:rsid w:val="00B84905"/>
    <w:rsid w:val="00B855F5"/>
    <w:rsid w:val="00B8647C"/>
    <w:rsid w:val="00B86B9D"/>
    <w:rsid w:val="00B90474"/>
    <w:rsid w:val="00B9165B"/>
    <w:rsid w:val="00B94D5E"/>
    <w:rsid w:val="00B96C47"/>
    <w:rsid w:val="00BA3215"/>
    <w:rsid w:val="00BB20C3"/>
    <w:rsid w:val="00BB37BF"/>
    <w:rsid w:val="00BB5EFD"/>
    <w:rsid w:val="00BB6BF7"/>
    <w:rsid w:val="00BC0338"/>
    <w:rsid w:val="00BC0CA6"/>
    <w:rsid w:val="00BC3261"/>
    <w:rsid w:val="00BC509E"/>
    <w:rsid w:val="00BD0353"/>
    <w:rsid w:val="00BD24EB"/>
    <w:rsid w:val="00BD399A"/>
    <w:rsid w:val="00BD63C9"/>
    <w:rsid w:val="00BD708C"/>
    <w:rsid w:val="00BE0EAA"/>
    <w:rsid w:val="00BE0F4A"/>
    <w:rsid w:val="00BE1816"/>
    <w:rsid w:val="00BE194F"/>
    <w:rsid w:val="00BE3FC4"/>
    <w:rsid w:val="00BE4E23"/>
    <w:rsid w:val="00BE7948"/>
    <w:rsid w:val="00BF116E"/>
    <w:rsid w:val="00BF1497"/>
    <w:rsid w:val="00BF1ADB"/>
    <w:rsid w:val="00BF2F6F"/>
    <w:rsid w:val="00BF549F"/>
    <w:rsid w:val="00BF55EE"/>
    <w:rsid w:val="00BF615C"/>
    <w:rsid w:val="00C02D68"/>
    <w:rsid w:val="00C040ED"/>
    <w:rsid w:val="00C050CB"/>
    <w:rsid w:val="00C06355"/>
    <w:rsid w:val="00C07082"/>
    <w:rsid w:val="00C07D71"/>
    <w:rsid w:val="00C07D7B"/>
    <w:rsid w:val="00C1161C"/>
    <w:rsid w:val="00C11B8B"/>
    <w:rsid w:val="00C14AAA"/>
    <w:rsid w:val="00C1552F"/>
    <w:rsid w:val="00C21BFC"/>
    <w:rsid w:val="00C220E3"/>
    <w:rsid w:val="00C22311"/>
    <w:rsid w:val="00C22973"/>
    <w:rsid w:val="00C2526F"/>
    <w:rsid w:val="00C25482"/>
    <w:rsid w:val="00C2719B"/>
    <w:rsid w:val="00C3176E"/>
    <w:rsid w:val="00C32C83"/>
    <w:rsid w:val="00C33D37"/>
    <w:rsid w:val="00C41615"/>
    <w:rsid w:val="00C43084"/>
    <w:rsid w:val="00C44E46"/>
    <w:rsid w:val="00C45404"/>
    <w:rsid w:val="00C45C63"/>
    <w:rsid w:val="00C47A3A"/>
    <w:rsid w:val="00C51318"/>
    <w:rsid w:val="00C51F92"/>
    <w:rsid w:val="00C55A9C"/>
    <w:rsid w:val="00C56073"/>
    <w:rsid w:val="00C611C9"/>
    <w:rsid w:val="00C6200A"/>
    <w:rsid w:val="00C66C0B"/>
    <w:rsid w:val="00C71D6B"/>
    <w:rsid w:val="00C743F6"/>
    <w:rsid w:val="00C808F2"/>
    <w:rsid w:val="00C81D11"/>
    <w:rsid w:val="00C81E1B"/>
    <w:rsid w:val="00C82D9C"/>
    <w:rsid w:val="00C83974"/>
    <w:rsid w:val="00C84E31"/>
    <w:rsid w:val="00C853EF"/>
    <w:rsid w:val="00C874E5"/>
    <w:rsid w:val="00C927B2"/>
    <w:rsid w:val="00C93FA1"/>
    <w:rsid w:val="00C96B2F"/>
    <w:rsid w:val="00CA1190"/>
    <w:rsid w:val="00CA1A74"/>
    <w:rsid w:val="00CA231A"/>
    <w:rsid w:val="00CA4090"/>
    <w:rsid w:val="00CA6FF7"/>
    <w:rsid w:val="00CA7F9C"/>
    <w:rsid w:val="00CC4B59"/>
    <w:rsid w:val="00CC52EC"/>
    <w:rsid w:val="00CD1EBE"/>
    <w:rsid w:val="00CD548E"/>
    <w:rsid w:val="00CD57DA"/>
    <w:rsid w:val="00CE063A"/>
    <w:rsid w:val="00CE1ED2"/>
    <w:rsid w:val="00CE292D"/>
    <w:rsid w:val="00CE45B6"/>
    <w:rsid w:val="00CE69BD"/>
    <w:rsid w:val="00CF024B"/>
    <w:rsid w:val="00CF0586"/>
    <w:rsid w:val="00CF7BF1"/>
    <w:rsid w:val="00D02632"/>
    <w:rsid w:val="00D03B68"/>
    <w:rsid w:val="00D07BAF"/>
    <w:rsid w:val="00D136C3"/>
    <w:rsid w:val="00D156F0"/>
    <w:rsid w:val="00D23E56"/>
    <w:rsid w:val="00D2623A"/>
    <w:rsid w:val="00D26388"/>
    <w:rsid w:val="00D265B4"/>
    <w:rsid w:val="00D31DC8"/>
    <w:rsid w:val="00D339BF"/>
    <w:rsid w:val="00D35BF0"/>
    <w:rsid w:val="00D40A41"/>
    <w:rsid w:val="00D41A04"/>
    <w:rsid w:val="00D4399C"/>
    <w:rsid w:val="00D46F70"/>
    <w:rsid w:val="00D47FF3"/>
    <w:rsid w:val="00D504A3"/>
    <w:rsid w:val="00D505B8"/>
    <w:rsid w:val="00D50C75"/>
    <w:rsid w:val="00D51161"/>
    <w:rsid w:val="00D5155E"/>
    <w:rsid w:val="00D51FBF"/>
    <w:rsid w:val="00D567C6"/>
    <w:rsid w:val="00D603CB"/>
    <w:rsid w:val="00D609D1"/>
    <w:rsid w:val="00D63EA5"/>
    <w:rsid w:val="00D65068"/>
    <w:rsid w:val="00D660C1"/>
    <w:rsid w:val="00D66FC2"/>
    <w:rsid w:val="00D67C64"/>
    <w:rsid w:val="00D67FAC"/>
    <w:rsid w:val="00D72565"/>
    <w:rsid w:val="00D74729"/>
    <w:rsid w:val="00D824D3"/>
    <w:rsid w:val="00D8354D"/>
    <w:rsid w:val="00D8675A"/>
    <w:rsid w:val="00D872A4"/>
    <w:rsid w:val="00D904EF"/>
    <w:rsid w:val="00D911F2"/>
    <w:rsid w:val="00D93DDA"/>
    <w:rsid w:val="00D93F38"/>
    <w:rsid w:val="00D942B1"/>
    <w:rsid w:val="00D97C32"/>
    <w:rsid w:val="00DA12A6"/>
    <w:rsid w:val="00DA19CD"/>
    <w:rsid w:val="00DB09FE"/>
    <w:rsid w:val="00DB1AAB"/>
    <w:rsid w:val="00DC08D2"/>
    <w:rsid w:val="00DC48AE"/>
    <w:rsid w:val="00DC5519"/>
    <w:rsid w:val="00DD0598"/>
    <w:rsid w:val="00DD2632"/>
    <w:rsid w:val="00DD5C87"/>
    <w:rsid w:val="00DD7855"/>
    <w:rsid w:val="00DE0B69"/>
    <w:rsid w:val="00DE3C90"/>
    <w:rsid w:val="00DE3D22"/>
    <w:rsid w:val="00DE4D7D"/>
    <w:rsid w:val="00DE5AC6"/>
    <w:rsid w:val="00DF2419"/>
    <w:rsid w:val="00DF554A"/>
    <w:rsid w:val="00DF6A22"/>
    <w:rsid w:val="00DF6F79"/>
    <w:rsid w:val="00DF7CA2"/>
    <w:rsid w:val="00E0076A"/>
    <w:rsid w:val="00E11DAD"/>
    <w:rsid w:val="00E12ADB"/>
    <w:rsid w:val="00E229C5"/>
    <w:rsid w:val="00E25398"/>
    <w:rsid w:val="00E25B72"/>
    <w:rsid w:val="00E31F2A"/>
    <w:rsid w:val="00E33BD7"/>
    <w:rsid w:val="00E45030"/>
    <w:rsid w:val="00E45930"/>
    <w:rsid w:val="00E45AFC"/>
    <w:rsid w:val="00E50E54"/>
    <w:rsid w:val="00E52A46"/>
    <w:rsid w:val="00E5451A"/>
    <w:rsid w:val="00E54E6C"/>
    <w:rsid w:val="00E55A63"/>
    <w:rsid w:val="00E56278"/>
    <w:rsid w:val="00E56327"/>
    <w:rsid w:val="00E617F8"/>
    <w:rsid w:val="00E619E1"/>
    <w:rsid w:val="00E645EB"/>
    <w:rsid w:val="00E64C3D"/>
    <w:rsid w:val="00E7157F"/>
    <w:rsid w:val="00E71F38"/>
    <w:rsid w:val="00E762B6"/>
    <w:rsid w:val="00E808DB"/>
    <w:rsid w:val="00E80F4B"/>
    <w:rsid w:val="00E82BA3"/>
    <w:rsid w:val="00E83C59"/>
    <w:rsid w:val="00E83C60"/>
    <w:rsid w:val="00E90772"/>
    <w:rsid w:val="00E90EDE"/>
    <w:rsid w:val="00E92562"/>
    <w:rsid w:val="00E94DE1"/>
    <w:rsid w:val="00E95C5C"/>
    <w:rsid w:val="00E97B5F"/>
    <w:rsid w:val="00EA176A"/>
    <w:rsid w:val="00EA1A0A"/>
    <w:rsid w:val="00EA5DB3"/>
    <w:rsid w:val="00EB1D28"/>
    <w:rsid w:val="00EB1ECE"/>
    <w:rsid w:val="00EB2AA4"/>
    <w:rsid w:val="00EB40E2"/>
    <w:rsid w:val="00EC21EA"/>
    <w:rsid w:val="00EC3B8A"/>
    <w:rsid w:val="00EC76D5"/>
    <w:rsid w:val="00ED2FCD"/>
    <w:rsid w:val="00EE53F4"/>
    <w:rsid w:val="00EE667C"/>
    <w:rsid w:val="00EF0A90"/>
    <w:rsid w:val="00EF26DC"/>
    <w:rsid w:val="00EF28BA"/>
    <w:rsid w:val="00EF2D8F"/>
    <w:rsid w:val="00F00CA9"/>
    <w:rsid w:val="00F03ED2"/>
    <w:rsid w:val="00F04AEE"/>
    <w:rsid w:val="00F0573C"/>
    <w:rsid w:val="00F06A02"/>
    <w:rsid w:val="00F110BA"/>
    <w:rsid w:val="00F11899"/>
    <w:rsid w:val="00F122BB"/>
    <w:rsid w:val="00F140FF"/>
    <w:rsid w:val="00F156F3"/>
    <w:rsid w:val="00F16B5D"/>
    <w:rsid w:val="00F20985"/>
    <w:rsid w:val="00F2191E"/>
    <w:rsid w:val="00F21BA7"/>
    <w:rsid w:val="00F221C4"/>
    <w:rsid w:val="00F26121"/>
    <w:rsid w:val="00F30C90"/>
    <w:rsid w:val="00F35A29"/>
    <w:rsid w:val="00F40DA2"/>
    <w:rsid w:val="00F41795"/>
    <w:rsid w:val="00F450AF"/>
    <w:rsid w:val="00F47FCC"/>
    <w:rsid w:val="00F50280"/>
    <w:rsid w:val="00F55022"/>
    <w:rsid w:val="00F56A92"/>
    <w:rsid w:val="00F57825"/>
    <w:rsid w:val="00F64BAE"/>
    <w:rsid w:val="00F65CEF"/>
    <w:rsid w:val="00F72D5F"/>
    <w:rsid w:val="00F8117A"/>
    <w:rsid w:val="00F81B2F"/>
    <w:rsid w:val="00F87957"/>
    <w:rsid w:val="00F97203"/>
    <w:rsid w:val="00F972A2"/>
    <w:rsid w:val="00F97B52"/>
    <w:rsid w:val="00FA0597"/>
    <w:rsid w:val="00FA1922"/>
    <w:rsid w:val="00FA2F9E"/>
    <w:rsid w:val="00FA321D"/>
    <w:rsid w:val="00FA36B8"/>
    <w:rsid w:val="00FA715E"/>
    <w:rsid w:val="00FB0F22"/>
    <w:rsid w:val="00FB3D83"/>
    <w:rsid w:val="00FC0473"/>
    <w:rsid w:val="00FC1BEE"/>
    <w:rsid w:val="00FC48AB"/>
    <w:rsid w:val="00FC60E2"/>
    <w:rsid w:val="00FC7783"/>
    <w:rsid w:val="00FD01B0"/>
    <w:rsid w:val="00FD14F3"/>
    <w:rsid w:val="00FD152B"/>
    <w:rsid w:val="00FD5083"/>
    <w:rsid w:val="00FD63B7"/>
    <w:rsid w:val="00FD7691"/>
    <w:rsid w:val="00FE2F6B"/>
    <w:rsid w:val="00FE712E"/>
    <w:rsid w:val="00FF3ABE"/>
    <w:rsid w:val="00FF5A9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742"/>
  <w15:docId w15:val="{A94129C8-DD1F-4BBB-9835-624E2C2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  <w:style w:type="paragraph" w:styleId="Poprawka">
    <w:name w:val="Revision"/>
    <w:hidden/>
    <w:uiPriority w:val="99"/>
    <w:semiHidden/>
    <w:rsid w:val="007700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CE1AF6-A0EE-41F2-A491-45D0E3D8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1862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Wrzosek, Michał</cp:lastModifiedBy>
  <cp:revision>2</cp:revision>
  <cp:lastPrinted>2022-07-22T11:28:00Z</cp:lastPrinted>
  <dcterms:created xsi:type="dcterms:W3CDTF">2022-07-27T08:19:00Z</dcterms:created>
  <dcterms:modified xsi:type="dcterms:W3CDTF">2022-07-27T08:19:00Z</dcterms:modified>
</cp:coreProperties>
</file>