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BF" w:rsidRDefault="004733BF" w:rsidP="004733BF">
      <w:pPr>
        <w:autoSpaceDE w:val="0"/>
        <w:autoSpaceDN w:val="0"/>
        <w:adjustRightInd w:val="0"/>
        <w:spacing w:after="0"/>
        <w:ind w:left="-113"/>
        <w:jc w:val="right"/>
        <w:rPr>
          <w:rFonts w:ascii="Tahoma" w:eastAsia="Times New Roman" w:hAnsi="Tahoma" w:cs="Tahoma"/>
          <w:lang w:eastAsia="pl-PL"/>
        </w:rPr>
      </w:pPr>
    </w:p>
    <w:p w:rsidR="004F716D" w:rsidRPr="002B7A8F" w:rsidRDefault="004F716D" w:rsidP="004733BF">
      <w:pPr>
        <w:autoSpaceDE w:val="0"/>
        <w:autoSpaceDN w:val="0"/>
        <w:adjustRightInd w:val="0"/>
        <w:spacing w:after="0"/>
        <w:jc w:val="right"/>
        <w:rPr>
          <w:rFonts w:ascii="Tahoma" w:eastAsia="Times New Roman" w:hAnsi="Tahoma" w:cs="Tahoma"/>
          <w:color w:val="7F7F7F" w:themeColor="text1" w:themeTint="80"/>
          <w:sz w:val="20"/>
          <w:lang w:eastAsia="pl-PL"/>
        </w:rPr>
      </w:pPr>
      <w:r w:rsidRPr="002B7A8F">
        <w:rPr>
          <w:rFonts w:ascii="Tahoma" w:eastAsia="Times New Roman" w:hAnsi="Tahoma" w:cs="Tahoma"/>
          <w:color w:val="7F7F7F" w:themeColor="text1" w:themeTint="80"/>
          <w:sz w:val="20"/>
          <w:lang w:eastAsia="pl-PL"/>
        </w:rPr>
        <w:t xml:space="preserve">Warszawa, </w:t>
      </w:r>
      <w:r w:rsidR="00EC2D95" w:rsidRPr="002B7A8F">
        <w:rPr>
          <w:rFonts w:ascii="Tahoma" w:eastAsia="Times New Roman" w:hAnsi="Tahoma" w:cs="Tahoma"/>
          <w:color w:val="7F7F7F" w:themeColor="text1" w:themeTint="80"/>
          <w:sz w:val="20"/>
          <w:lang w:eastAsia="pl-PL"/>
        </w:rPr>
        <w:t>29</w:t>
      </w:r>
      <w:r w:rsidRPr="002B7A8F">
        <w:rPr>
          <w:rFonts w:ascii="Tahoma" w:eastAsia="Times New Roman" w:hAnsi="Tahoma" w:cs="Tahoma"/>
          <w:color w:val="7F7F7F" w:themeColor="text1" w:themeTint="80"/>
          <w:sz w:val="20"/>
          <w:lang w:eastAsia="pl-PL"/>
        </w:rPr>
        <w:t xml:space="preserve"> </w:t>
      </w:r>
      <w:r w:rsidR="00D503DB" w:rsidRPr="002B7A8F">
        <w:rPr>
          <w:rFonts w:ascii="Tahoma" w:eastAsia="Times New Roman" w:hAnsi="Tahoma" w:cs="Tahoma"/>
          <w:color w:val="7F7F7F" w:themeColor="text1" w:themeTint="80"/>
          <w:sz w:val="20"/>
          <w:lang w:eastAsia="pl-PL"/>
        </w:rPr>
        <w:t>października</w:t>
      </w:r>
      <w:r w:rsidR="007D1269" w:rsidRPr="002B7A8F">
        <w:rPr>
          <w:rFonts w:ascii="Tahoma" w:eastAsia="Times New Roman" w:hAnsi="Tahoma" w:cs="Tahoma"/>
          <w:color w:val="7F7F7F" w:themeColor="text1" w:themeTint="80"/>
          <w:sz w:val="20"/>
          <w:lang w:eastAsia="pl-PL"/>
        </w:rPr>
        <w:t xml:space="preserve"> </w:t>
      </w:r>
      <w:r w:rsidR="008231E8" w:rsidRPr="002B7A8F">
        <w:rPr>
          <w:rFonts w:ascii="Tahoma" w:eastAsia="Times New Roman" w:hAnsi="Tahoma" w:cs="Tahoma"/>
          <w:color w:val="7F7F7F" w:themeColor="text1" w:themeTint="80"/>
          <w:sz w:val="20"/>
          <w:lang w:eastAsia="pl-PL"/>
        </w:rPr>
        <w:t>201</w:t>
      </w:r>
      <w:r w:rsidR="00C35BD0" w:rsidRPr="002B7A8F">
        <w:rPr>
          <w:rFonts w:ascii="Tahoma" w:eastAsia="Times New Roman" w:hAnsi="Tahoma" w:cs="Tahoma"/>
          <w:color w:val="7F7F7F" w:themeColor="text1" w:themeTint="80"/>
          <w:sz w:val="20"/>
          <w:lang w:eastAsia="pl-PL"/>
        </w:rPr>
        <w:t>8</w:t>
      </w:r>
      <w:r w:rsidRPr="002B7A8F">
        <w:rPr>
          <w:rFonts w:ascii="Tahoma" w:eastAsia="Times New Roman" w:hAnsi="Tahoma" w:cs="Tahoma"/>
          <w:color w:val="7F7F7F" w:themeColor="text1" w:themeTint="80"/>
          <w:sz w:val="20"/>
          <w:lang w:eastAsia="pl-PL"/>
        </w:rPr>
        <w:t xml:space="preserve"> roku</w:t>
      </w:r>
    </w:p>
    <w:p w:rsidR="002B7A8F" w:rsidRPr="00B709E2" w:rsidRDefault="002B7A8F" w:rsidP="004733BF">
      <w:pPr>
        <w:autoSpaceDE w:val="0"/>
        <w:autoSpaceDN w:val="0"/>
        <w:adjustRightInd w:val="0"/>
        <w:spacing w:after="0"/>
        <w:jc w:val="right"/>
        <w:rPr>
          <w:rFonts w:ascii="Tahoma" w:eastAsia="Times New Roman" w:hAnsi="Tahoma" w:cs="Tahoma"/>
          <w:lang w:eastAsia="pl-PL"/>
        </w:rPr>
      </w:pPr>
    </w:p>
    <w:p w:rsidR="004F716D" w:rsidRPr="00B709E2" w:rsidRDefault="004F716D" w:rsidP="004733BF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b/>
          <w:lang w:eastAsia="pl-PL"/>
        </w:rPr>
      </w:pPr>
    </w:p>
    <w:p w:rsidR="002B7A8F" w:rsidRDefault="00171CFD" w:rsidP="002B7A8F">
      <w:pPr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b/>
          <w:color w:val="FFC000"/>
          <w:lang w:eastAsia="pl-PL"/>
        </w:rPr>
      </w:pPr>
      <w:r w:rsidRPr="002B7A8F">
        <w:rPr>
          <w:rFonts w:ascii="Tahoma" w:eastAsia="Times New Roman" w:hAnsi="Tahoma" w:cs="Tahoma"/>
          <w:b/>
          <w:color w:val="FFC000"/>
          <w:lang w:eastAsia="pl-PL"/>
        </w:rPr>
        <w:t xml:space="preserve">Komentarz </w:t>
      </w:r>
      <w:r w:rsidR="00B2143B" w:rsidRPr="002B7A8F">
        <w:rPr>
          <w:rFonts w:ascii="Tahoma" w:eastAsia="Times New Roman" w:hAnsi="Tahoma" w:cs="Tahoma"/>
          <w:b/>
          <w:color w:val="FFC000"/>
          <w:lang w:eastAsia="pl-PL"/>
        </w:rPr>
        <w:t>P</w:t>
      </w:r>
      <w:r w:rsidR="002B7A8F">
        <w:rPr>
          <w:rFonts w:ascii="Tahoma" w:eastAsia="Times New Roman" w:hAnsi="Tahoma" w:cs="Tahoma"/>
          <w:b/>
          <w:color w:val="FFC000"/>
          <w:lang w:eastAsia="pl-PL"/>
        </w:rPr>
        <w:t xml:space="preserve">rezesa Zarządu Budimex SA </w:t>
      </w:r>
    </w:p>
    <w:p w:rsidR="002B7A8F" w:rsidRDefault="00171CFD" w:rsidP="002B7A8F">
      <w:pPr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b/>
          <w:color w:val="FFC000"/>
          <w:lang w:eastAsia="pl-PL"/>
        </w:rPr>
      </w:pPr>
      <w:r w:rsidRPr="002B7A8F">
        <w:rPr>
          <w:rFonts w:ascii="Tahoma" w:eastAsia="Times New Roman" w:hAnsi="Tahoma" w:cs="Tahoma"/>
          <w:b/>
          <w:color w:val="FFC000"/>
          <w:lang w:eastAsia="pl-PL"/>
        </w:rPr>
        <w:t xml:space="preserve">Dariusza Blochera </w:t>
      </w:r>
    </w:p>
    <w:p w:rsidR="00D503DB" w:rsidRDefault="00171CFD" w:rsidP="002B7A8F">
      <w:pPr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b/>
          <w:color w:val="FFC000"/>
          <w:lang w:eastAsia="pl-PL"/>
        </w:rPr>
      </w:pPr>
      <w:r w:rsidRPr="002B7A8F">
        <w:rPr>
          <w:rFonts w:ascii="Tahoma" w:eastAsia="Times New Roman" w:hAnsi="Tahoma" w:cs="Tahoma"/>
          <w:b/>
          <w:color w:val="FFC000"/>
          <w:lang w:eastAsia="pl-PL"/>
        </w:rPr>
        <w:t xml:space="preserve">do </w:t>
      </w:r>
      <w:r w:rsidR="00D503DB" w:rsidRPr="002B7A8F">
        <w:rPr>
          <w:rFonts w:ascii="Tahoma" w:eastAsia="Times New Roman" w:hAnsi="Tahoma" w:cs="Tahoma"/>
          <w:b/>
          <w:color w:val="FFC000"/>
          <w:lang w:eastAsia="pl-PL"/>
        </w:rPr>
        <w:t>danych finansowych ze skonsolidowanego sprawozdania finansowego Grupy Budimex za trzy kwartały 2018</w:t>
      </w:r>
    </w:p>
    <w:p w:rsidR="002B7A8F" w:rsidRPr="002B7A8F" w:rsidRDefault="002B7A8F" w:rsidP="00D503DB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b/>
          <w:color w:val="FFC000"/>
          <w:lang w:eastAsia="pl-PL"/>
        </w:rPr>
      </w:pPr>
    </w:p>
    <w:p w:rsidR="00675565" w:rsidRDefault="00675565" w:rsidP="004733BF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675565" w:rsidRPr="002B7A8F" w:rsidRDefault="00D503DB" w:rsidP="002B7A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color w:val="7F7F7F" w:themeColor="text1" w:themeTint="80"/>
          <w:sz w:val="20"/>
          <w:lang w:eastAsia="pl-PL"/>
        </w:rPr>
      </w:pPr>
      <w:r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Po trzech kwartałach </w:t>
      </w:r>
      <w:r w:rsidR="00334374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2018 roku </w:t>
      </w:r>
      <w:r w:rsidRPr="002B7A8F">
        <w:rPr>
          <w:rFonts w:ascii="Tahoma" w:hAnsi="Tahoma" w:cs="Tahoma"/>
          <w:color w:val="7F7F7F" w:themeColor="text1" w:themeTint="80"/>
          <w:sz w:val="18"/>
          <w:szCs w:val="20"/>
        </w:rPr>
        <w:t>s</w:t>
      </w:r>
      <w:r w:rsidR="00675565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przedaż Grupy Budimex </w:t>
      </w:r>
      <w:r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w segmencie budowlanym </w:t>
      </w:r>
      <w:r w:rsidR="00675565" w:rsidRPr="002B7A8F">
        <w:rPr>
          <w:rFonts w:ascii="Tahoma" w:hAnsi="Tahoma" w:cs="Tahoma"/>
          <w:color w:val="7F7F7F" w:themeColor="text1" w:themeTint="80"/>
          <w:sz w:val="18"/>
          <w:szCs w:val="20"/>
        </w:rPr>
        <w:t>była wyższa o 1</w:t>
      </w:r>
      <w:r w:rsidRPr="002B7A8F">
        <w:rPr>
          <w:rFonts w:ascii="Tahoma" w:hAnsi="Tahoma" w:cs="Tahoma"/>
          <w:color w:val="7F7F7F" w:themeColor="text1" w:themeTint="80"/>
          <w:sz w:val="18"/>
          <w:szCs w:val="20"/>
        </w:rPr>
        <w:t>8</w:t>
      </w:r>
      <w:r w:rsidR="00675565" w:rsidRPr="002B7A8F">
        <w:rPr>
          <w:rFonts w:ascii="Tahoma" w:hAnsi="Tahoma" w:cs="Tahoma"/>
          <w:color w:val="7F7F7F" w:themeColor="text1" w:themeTint="80"/>
          <w:sz w:val="18"/>
          <w:szCs w:val="20"/>
        </w:rPr>
        <w:t>% w stosunku do analogi</w:t>
      </w:r>
      <w:r w:rsidRPr="002B7A8F">
        <w:rPr>
          <w:rFonts w:ascii="Tahoma" w:hAnsi="Tahoma" w:cs="Tahoma"/>
          <w:color w:val="7F7F7F" w:themeColor="text1" w:themeTint="80"/>
          <w:sz w:val="18"/>
          <w:szCs w:val="20"/>
        </w:rPr>
        <w:t>cznego okresu roku poprzedniego.</w:t>
      </w:r>
    </w:p>
    <w:p w:rsidR="00D503DB" w:rsidRPr="002B7A8F" w:rsidRDefault="00D503DB" w:rsidP="002B7A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color w:val="7F7F7F" w:themeColor="text1" w:themeTint="80"/>
          <w:sz w:val="20"/>
          <w:lang w:eastAsia="pl-PL"/>
        </w:rPr>
      </w:pPr>
      <w:r w:rsidRPr="002B7A8F">
        <w:rPr>
          <w:rFonts w:ascii="Tahoma" w:hAnsi="Tahoma" w:cs="Tahoma"/>
          <w:color w:val="7F7F7F" w:themeColor="text1" w:themeTint="80"/>
          <w:sz w:val="18"/>
          <w:szCs w:val="20"/>
        </w:rPr>
        <w:t>Grup</w:t>
      </w:r>
      <w:r w:rsidR="00964873" w:rsidRPr="002B7A8F">
        <w:rPr>
          <w:rFonts w:ascii="Tahoma" w:hAnsi="Tahoma" w:cs="Tahoma"/>
          <w:color w:val="7F7F7F" w:themeColor="text1" w:themeTint="80"/>
          <w:sz w:val="18"/>
          <w:szCs w:val="20"/>
        </w:rPr>
        <w:t>a</w:t>
      </w:r>
      <w:r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 Budimex </w:t>
      </w:r>
      <w:r w:rsidR="00334374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osiągnęła </w:t>
      </w:r>
      <w:r w:rsidR="00E96DA7" w:rsidRPr="002B7A8F">
        <w:rPr>
          <w:rFonts w:ascii="Tahoma" w:hAnsi="Tahoma" w:cs="Tahoma"/>
          <w:color w:val="7F7F7F" w:themeColor="text1" w:themeTint="80"/>
          <w:sz w:val="18"/>
          <w:szCs w:val="20"/>
        </w:rPr>
        <w:t>rentowność zysku brutto na poziomie 5,6%,</w:t>
      </w:r>
      <w:r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 przy czym w części budowlanej było to </w:t>
      </w:r>
      <w:r w:rsidR="00E96DA7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3,8%, </w:t>
      </w:r>
      <w:r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co postrzegamy jako bardzo dobry wynik, </w:t>
      </w:r>
      <w:r w:rsidR="00C659B6" w:rsidRPr="002B7A8F">
        <w:rPr>
          <w:rFonts w:ascii="Tahoma" w:hAnsi="Tahoma" w:cs="Tahoma"/>
          <w:color w:val="7F7F7F" w:themeColor="text1" w:themeTint="80"/>
          <w:sz w:val="18"/>
          <w:szCs w:val="20"/>
        </w:rPr>
        <w:t>znacznie</w:t>
      </w:r>
      <w:r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 wyższy niż rynkowy benchmark. </w:t>
      </w:r>
    </w:p>
    <w:p w:rsidR="00675565" w:rsidRPr="002B7A8F" w:rsidRDefault="00675565" w:rsidP="002B7A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color w:val="7F7F7F" w:themeColor="text1" w:themeTint="80"/>
          <w:sz w:val="20"/>
          <w:lang w:eastAsia="pl-PL"/>
        </w:rPr>
      </w:pPr>
      <w:r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Na koniec </w:t>
      </w:r>
      <w:r w:rsidR="00D503DB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>września</w:t>
      </w:r>
      <w:r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 2018 roku portfel zamówień Grupy Budimex osiągnął </w:t>
      </w:r>
      <w:r w:rsidR="00D503DB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rekordowy poziom </w:t>
      </w:r>
      <w:r w:rsidR="00D503DB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br/>
        <w:t>11,0</w:t>
      </w:r>
      <w:r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 miliard</w:t>
      </w:r>
      <w:r w:rsidR="00D503DB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>ów</w:t>
      </w:r>
      <w:r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 złotych</w:t>
      </w:r>
      <w:r w:rsidR="00B2143B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>.</w:t>
      </w:r>
    </w:p>
    <w:p w:rsidR="00675565" w:rsidRPr="002B7A8F" w:rsidRDefault="00D503DB" w:rsidP="002B7A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color w:val="7F7F7F" w:themeColor="text1" w:themeTint="80"/>
          <w:sz w:val="20"/>
          <w:lang w:eastAsia="pl-PL"/>
        </w:rPr>
      </w:pPr>
      <w:r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Wartość kontraktów pozyskanych w ciągu 9 miesięcy 2018 roku wyniosła 5,6 miliarda złotych. </w:t>
      </w:r>
    </w:p>
    <w:p w:rsidR="004E4EFC" w:rsidRPr="002B7A8F" w:rsidRDefault="004E4EFC" w:rsidP="002B7A8F">
      <w:pPr>
        <w:spacing w:after="0" w:line="360" w:lineRule="auto"/>
        <w:jc w:val="both"/>
        <w:rPr>
          <w:rFonts w:ascii="Tahoma" w:hAnsi="Tahoma" w:cs="Tahoma"/>
          <w:color w:val="7F7F7F" w:themeColor="text1" w:themeTint="80"/>
          <w:sz w:val="20"/>
          <w:szCs w:val="20"/>
        </w:rPr>
      </w:pPr>
    </w:p>
    <w:p w:rsidR="000E376D" w:rsidRPr="002B7A8F" w:rsidRDefault="000E376D" w:rsidP="002B7A8F">
      <w:pPr>
        <w:spacing w:after="0" w:line="360" w:lineRule="auto"/>
        <w:jc w:val="both"/>
        <w:rPr>
          <w:rFonts w:ascii="Tahoma" w:hAnsi="Tahoma" w:cs="Tahoma"/>
          <w:color w:val="7F7F7F" w:themeColor="text1" w:themeTint="80"/>
          <w:sz w:val="18"/>
          <w:szCs w:val="20"/>
        </w:rPr>
      </w:pPr>
      <w:r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Po trzech kwartałach 2018 roku Grupa Budimex odnotowała wzrost przychodów ze sprzedaży o 18% </w:t>
      </w:r>
      <w:r w:rsidR="005E5757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w stosunku do analogicznego okresu roku ubiegłego </w:t>
      </w:r>
      <w:r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oraz osiągnęła rentowność </w:t>
      </w:r>
      <w:r w:rsidR="00BA0B82" w:rsidRPr="002B7A8F">
        <w:rPr>
          <w:rFonts w:ascii="Tahoma" w:hAnsi="Tahoma" w:cs="Tahoma"/>
          <w:color w:val="7F7F7F" w:themeColor="text1" w:themeTint="80"/>
          <w:sz w:val="18"/>
          <w:szCs w:val="20"/>
        </w:rPr>
        <w:t>zysku brutto</w:t>
      </w:r>
      <w:r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 na poziomie 5,</w:t>
      </w:r>
      <w:r w:rsidR="00BA0B82" w:rsidRPr="002B7A8F">
        <w:rPr>
          <w:rFonts w:ascii="Tahoma" w:hAnsi="Tahoma" w:cs="Tahoma"/>
          <w:color w:val="7F7F7F" w:themeColor="text1" w:themeTint="80"/>
          <w:sz w:val="18"/>
          <w:szCs w:val="20"/>
        </w:rPr>
        <w:t>6</w:t>
      </w:r>
      <w:r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%. W trzecim kwartale 2018 rentowność Grupy Budimex </w:t>
      </w:r>
      <w:r w:rsidR="00BA0B82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była wyższa i </w:t>
      </w:r>
      <w:r w:rsidRPr="002B7A8F">
        <w:rPr>
          <w:rFonts w:ascii="Tahoma" w:hAnsi="Tahoma" w:cs="Tahoma"/>
          <w:color w:val="7F7F7F" w:themeColor="text1" w:themeTint="80"/>
          <w:sz w:val="18"/>
          <w:szCs w:val="20"/>
        </w:rPr>
        <w:t>wyniosła 6,</w:t>
      </w:r>
      <w:r w:rsidR="00BA0B82" w:rsidRPr="002B7A8F">
        <w:rPr>
          <w:rFonts w:ascii="Tahoma" w:hAnsi="Tahoma" w:cs="Tahoma"/>
          <w:color w:val="7F7F7F" w:themeColor="text1" w:themeTint="80"/>
          <w:sz w:val="18"/>
          <w:szCs w:val="20"/>
        </w:rPr>
        <w:t>7</w:t>
      </w:r>
      <w:r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%, co związane było z rozpoznaniem wyniku na sprzedaży spółek zależnych Elektromontaż-Poznań </w:t>
      </w:r>
      <w:r w:rsidR="00C659B6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S.A. </w:t>
      </w:r>
      <w:r w:rsidRPr="002B7A8F">
        <w:rPr>
          <w:rFonts w:ascii="Tahoma" w:hAnsi="Tahoma" w:cs="Tahoma"/>
          <w:color w:val="7F7F7F" w:themeColor="text1" w:themeTint="80"/>
          <w:sz w:val="18"/>
          <w:szCs w:val="20"/>
        </w:rPr>
        <w:t>oraz Biuro Inwestycji „Grunwald”</w:t>
      </w:r>
      <w:r w:rsidR="00C659B6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 S.A</w:t>
      </w:r>
      <w:r w:rsidRPr="002B7A8F">
        <w:rPr>
          <w:rFonts w:ascii="Tahoma" w:hAnsi="Tahoma" w:cs="Tahoma"/>
          <w:color w:val="7F7F7F" w:themeColor="text1" w:themeTint="80"/>
          <w:sz w:val="18"/>
          <w:szCs w:val="20"/>
        </w:rPr>
        <w:t>. Wpływ transakcji na skonsolidowane sprawozdanie finansowe był zgodny ze</w:t>
      </w:r>
      <w:r w:rsidR="00E96DA7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 wstępnym szacunkiem wskazanym </w:t>
      </w:r>
      <w:r w:rsidRPr="002B7A8F">
        <w:rPr>
          <w:rFonts w:ascii="Tahoma" w:hAnsi="Tahoma" w:cs="Tahoma"/>
          <w:color w:val="7F7F7F" w:themeColor="text1" w:themeTint="80"/>
          <w:sz w:val="18"/>
          <w:szCs w:val="20"/>
        </w:rPr>
        <w:t>w komunikacie bieżącym nr 64/2018 i wyniósł 44 miliony złotych</w:t>
      </w:r>
      <w:r w:rsidR="00334374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 na poziomie zysku brutto</w:t>
      </w:r>
      <w:r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. </w:t>
      </w:r>
    </w:p>
    <w:p w:rsidR="000E376D" w:rsidRPr="002B7A8F" w:rsidRDefault="000E376D" w:rsidP="002B7A8F">
      <w:pPr>
        <w:spacing w:after="0" w:line="360" w:lineRule="auto"/>
        <w:jc w:val="both"/>
        <w:rPr>
          <w:rFonts w:ascii="Tahoma" w:hAnsi="Tahoma" w:cs="Tahoma"/>
          <w:color w:val="7F7F7F" w:themeColor="text1" w:themeTint="80"/>
          <w:sz w:val="18"/>
          <w:szCs w:val="20"/>
        </w:rPr>
      </w:pPr>
    </w:p>
    <w:p w:rsidR="000E376D" w:rsidRPr="002B7A8F" w:rsidRDefault="00334374" w:rsidP="002B7A8F">
      <w:pPr>
        <w:spacing w:line="360" w:lineRule="auto"/>
        <w:jc w:val="both"/>
        <w:rPr>
          <w:rFonts w:ascii="Tahoma" w:hAnsi="Tahoma" w:cs="Tahoma"/>
          <w:color w:val="7F7F7F" w:themeColor="text1" w:themeTint="80"/>
          <w:sz w:val="18"/>
          <w:szCs w:val="20"/>
        </w:rPr>
      </w:pPr>
      <w:r w:rsidRPr="002B7A8F">
        <w:rPr>
          <w:rFonts w:ascii="Tahoma" w:hAnsi="Tahoma" w:cs="Tahoma"/>
          <w:color w:val="7F7F7F" w:themeColor="text1" w:themeTint="80"/>
          <w:sz w:val="18"/>
          <w:szCs w:val="20"/>
        </w:rPr>
        <w:t>R</w:t>
      </w:r>
      <w:r w:rsidR="000E376D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ynek budowlany </w:t>
      </w:r>
      <w:r w:rsidRPr="002B7A8F">
        <w:rPr>
          <w:rFonts w:ascii="Tahoma" w:hAnsi="Tahoma" w:cs="Tahoma"/>
          <w:color w:val="7F7F7F" w:themeColor="text1" w:themeTint="80"/>
          <w:sz w:val="18"/>
          <w:szCs w:val="20"/>
        </w:rPr>
        <w:t>od kilku kwartałów utrzymuje</w:t>
      </w:r>
      <w:r w:rsidR="000E376D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 wysokie tempo wzrostu. W ciągu 9 miesięcy 2018 roku produkcja budowlano-montażowa wzrosła o </w:t>
      </w:r>
      <w:r w:rsidR="00232F32" w:rsidRPr="002B7A8F">
        <w:rPr>
          <w:rFonts w:ascii="Tahoma" w:hAnsi="Tahoma" w:cs="Tahoma"/>
          <w:color w:val="7F7F7F" w:themeColor="text1" w:themeTint="80"/>
          <w:sz w:val="18"/>
          <w:szCs w:val="20"/>
        </w:rPr>
        <w:t>22,9</w:t>
      </w:r>
      <w:r w:rsidR="000E376D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% w stosunku do analogicznego okresu roku poprzedniego. Jednocześnie dane Głównego Urzędu Statystycznego wskazują na pogorszenie rentowności sektora - zysk brutto branży budowlanej po pierwszym półroczu bieżącego roku wyniósł 2,3% w porównaniu do 2,8% w </w:t>
      </w:r>
      <w:r w:rsidR="00964873" w:rsidRPr="002B7A8F">
        <w:rPr>
          <w:rFonts w:ascii="Tahoma" w:hAnsi="Tahoma" w:cs="Tahoma"/>
          <w:color w:val="7F7F7F" w:themeColor="text1" w:themeTint="80"/>
          <w:sz w:val="18"/>
          <w:szCs w:val="20"/>
        </w:rPr>
        <w:t>pierwszym półroczu roku ubiegłego</w:t>
      </w:r>
      <w:r w:rsidR="000E376D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. </w:t>
      </w:r>
      <w:r w:rsidR="00BA0B82" w:rsidRPr="002B7A8F">
        <w:rPr>
          <w:rFonts w:ascii="Tahoma" w:hAnsi="Tahoma" w:cs="Tahoma"/>
          <w:color w:val="7F7F7F" w:themeColor="text1" w:themeTint="80"/>
          <w:sz w:val="18"/>
          <w:szCs w:val="20"/>
        </w:rPr>
        <w:t>Mając na uwadze skalę realizowanych inwestycji oraz pogarszającą się sytuację podmiotów działających w sektorze realny wydaje się scenariusz, w którym k</w:t>
      </w:r>
      <w:r w:rsidR="000E376D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olejne kwartały mogą przynieść kontynuację </w:t>
      </w:r>
      <w:r w:rsidR="00997863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trendu spadkowego. </w:t>
      </w:r>
    </w:p>
    <w:p w:rsidR="00E96DA7" w:rsidRPr="002B7A8F" w:rsidRDefault="00BA0B82" w:rsidP="002B7A8F">
      <w:pPr>
        <w:spacing w:after="0" w:line="360" w:lineRule="auto"/>
        <w:jc w:val="both"/>
        <w:rPr>
          <w:rFonts w:ascii="Tahoma" w:hAnsi="Tahoma" w:cs="Tahoma"/>
          <w:color w:val="7F7F7F" w:themeColor="text1" w:themeTint="80"/>
          <w:sz w:val="18"/>
          <w:szCs w:val="20"/>
        </w:rPr>
      </w:pPr>
      <w:r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Po trzech kwartałach 2018 roku sprzedaż segmentu budowlanego Grupy Budimex osiągnęła poziom </w:t>
      </w:r>
      <w:r w:rsidR="00E96DA7" w:rsidRPr="002B7A8F">
        <w:rPr>
          <w:rFonts w:ascii="Tahoma" w:hAnsi="Tahoma" w:cs="Tahoma"/>
          <w:color w:val="7F7F7F" w:themeColor="text1" w:themeTint="80"/>
          <w:sz w:val="18"/>
          <w:szCs w:val="20"/>
        </w:rPr>
        <w:t>5,1</w:t>
      </w:r>
      <w:r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 </w:t>
      </w:r>
      <w:r w:rsidR="00E96DA7" w:rsidRPr="002B7A8F">
        <w:rPr>
          <w:rFonts w:ascii="Tahoma" w:hAnsi="Tahoma" w:cs="Tahoma"/>
          <w:color w:val="7F7F7F" w:themeColor="text1" w:themeTint="80"/>
          <w:sz w:val="18"/>
          <w:szCs w:val="20"/>
        </w:rPr>
        <w:t>miliarda</w:t>
      </w:r>
      <w:r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 złotych i była wyższa o 18% w stosunku do analogicznego okresu roku poprzedniego. Pomimo bardzo wymagających warunków rynkowych, rentowność zysku brutto części budowlanej ustabilizowała się na poziomie 3,8%, istotnie powyżej rynkowego benchmarku. </w:t>
      </w:r>
    </w:p>
    <w:p w:rsidR="00E96DA7" w:rsidRPr="002B7A8F" w:rsidRDefault="00E96DA7" w:rsidP="002B7A8F">
      <w:pPr>
        <w:spacing w:after="0" w:line="360" w:lineRule="auto"/>
        <w:jc w:val="both"/>
        <w:rPr>
          <w:rFonts w:ascii="Tahoma" w:hAnsi="Tahoma" w:cs="Tahoma"/>
          <w:color w:val="7F7F7F" w:themeColor="text1" w:themeTint="80"/>
          <w:sz w:val="18"/>
          <w:szCs w:val="20"/>
        </w:rPr>
      </w:pPr>
    </w:p>
    <w:p w:rsidR="00E96DA7" w:rsidRPr="002B7A8F" w:rsidRDefault="00C659B6" w:rsidP="002B7A8F">
      <w:pPr>
        <w:spacing w:after="0" w:line="360" w:lineRule="auto"/>
        <w:jc w:val="both"/>
        <w:rPr>
          <w:rFonts w:ascii="Tahoma" w:hAnsi="Tahoma" w:cs="Tahoma"/>
          <w:color w:val="7F7F7F" w:themeColor="text1" w:themeTint="80"/>
          <w:sz w:val="18"/>
          <w:szCs w:val="20"/>
        </w:rPr>
      </w:pPr>
      <w:r w:rsidRPr="002B7A8F">
        <w:rPr>
          <w:rFonts w:ascii="Tahoma" w:hAnsi="Tahoma" w:cs="Tahoma"/>
          <w:color w:val="7F7F7F" w:themeColor="text1" w:themeTint="80"/>
          <w:sz w:val="18"/>
          <w:szCs w:val="20"/>
        </w:rPr>
        <w:t>B</w:t>
      </w:r>
      <w:r w:rsidR="00E96DA7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ranża stoi przed wyzwaniem realizacji potężnego programu inwestycyjnego przy problemach </w:t>
      </w:r>
      <w:r w:rsidRPr="002B7A8F">
        <w:rPr>
          <w:rFonts w:ascii="Tahoma" w:hAnsi="Tahoma" w:cs="Tahoma"/>
          <w:color w:val="7F7F7F" w:themeColor="text1" w:themeTint="80"/>
          <w:sz w:val="18"/>
          <w:szCs w:val="20"/>
        </w:rPr>
        <w:br/>
      </w:r>
      <w:r w:rsidR="00E96DA7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z płynnością oraz rentownością. </w:t>
      </w:r>
      <w:r w:rsidR="0029439B" w:rsidRPr="002B7A8F">
        <w:rPr>
          <w:rFonts w:ascii="Tahoma" w:hAnsi="Tahoma" w:cs="Tahoma"/>
          <w:color w:val="7F7F7F" w:themeColor="text1" w:themeTint="80"/>
          <w:sz w:val="18"/>
          <w:szCs w:val="20"/>
        </w:rPr>
        <w:t>Z</w:t>
      </w:r>
      <w:r w:rsidR="00E96DA7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 rynku dochodzą </w:t>
      </w:r>
      <w:r w:rsidR="0029439B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wyraźne </w:t>
      </w:r>
      <w:r w:rsidR="00E96DA7" w:rsidRPr="002B7A8F">
        <w:rPr>
          <w:rFonts w:ascii="Tahoma" w:hAnsi="Tahoma" w:cs="Tahoma"/>
          <w:color w:val="7F7F7F" w:themeColor="text1" w:themeTint="80"/>
          <w:sz w:val="18"/>
          <w:szCs w:val="20"/>
        </w:rPr>
        <w:t>sygnały o istotnych zatorach w płatnoś</w:t>
      </w:r>
      <w:r w:rsidR="00175884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ciach, rozwiązanych kontraktach oraz trudnościach finansowych firm, w tym </w:t>
      </w:r>
      <w:r w:rsidR="00E96DA7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bankructwach. Dzięki selektywnemu podejściu do </w:t>
      </w:r>
      <w:r w:rsidR="0029439B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ofertowania </w:t>
      </w:r>
      <w:r w:rsidR="00E96DA7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i dbałości o zachowanie </w:t>
      </w:r>
      <w:r w:rsidRPr="002B7A8F">
        <w:rPr>
          <w:rFonts w:ascii="Tahoma" w:hAnsi="Tahoma" w:cs="Tahoma"/>
          <w:color w:val="7F7F7F" w:themeColor="text1" w:themeTint="80"/>
          <w:sz w:val="18"/>
          <w:szCs w:val="20"/>
        </w:rPr>
        <w:t>rentownego</w:t>
      </w:r>
      <w:r w:rsidR="00E96DA7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 portfela zamówień aktualna sytuacja Grupy Budimex jest </w:t>
      </w:r>
      <w:r w:rsidR="00E96DA7" w:rsidRPr="002B7A8F">
        <w:rPr>
          <w:rFonts w:ascii="Tahoma" w:hAnsi="Tahoma" w:cs="Tahoma"/>
          <w:color w:val="7F7F7F" w:themeColor="text1" w:themeTint="80"/>
          <w:sz w:val="18"/>
          <w:szCs w:val="20"/>
        </w:rPr>
        <w:lastRenderedPageBreak/>
        <w:t xml:space="preserve">stabilna. Niemniej jednak trudności rynkowe znajdują odzwierciedlenie w poziomie osiąganej rentowności oraz niższej pozycji gotówkowej netto. </w:t>
      </w:r>
    </w:p>
    <w:p w:rsidR="00D503DB" w:rsidRPr="002B7A8F" w:rsidRDefault="00D503DB" w:rsidP="002B7A8F">
      <w:pPr>
        <w:spacing w:after="0" w:line="360" w:lineRule="auto"/>
        <w:jc w:val="both"/>
        <w:rPr>
          <w:rFonts w:ascii="Tahoma" w:hAnsi="Tahoma" w:cs="Tahoma"/>
          <w:color w:val="7F7F7F" w:themeColor="text1" w:themeTint="80"/>
          <w:sz w:val="18"/>
          <w:szCs w:val="20"/>
        </w:rPr>
      </w:pPr>
    </w:p>
    <w:p w:rsidR="000D186E" w:rsidRPr="002B7A8F" w:rsidRDefault="000D186E" w:rsidP="002B7A8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</w:pPr>
      <w:r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Na koniec </w:t>
      </w:r>
      <w:r w:rsidR="00E96DA7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>września</w:t>
      </w:r>
      <w:r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 2018 roku portfel zamówień Grupy Budimex osiągnął </w:t>
      </w:r>
      <w:r w:rsidR="00882BC4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>11,0 miliardów</w:t>
      </w:r>
      <w:r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 złotych i był </w:t>
      </w:r>
      <w:r w:rsidR="005E5757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>nieznacznie wyższy niż na koniec</w:t>
      </w:r>
      <w:r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 poprzedniego kwartału. W ciągu </w:t>
      </w:r>
      <w:r w:rsidR="00E96DA7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>pierwszych trzech kwartałów</w:t>
      </w:r>
      <w:r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 2018 roku podpisaliśmy kontrakty o wartości </w:t>
      </w:r>
      <w:r w:rsidR="00882BC4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>5,6 miliarda złotych</w:t>
      </w:r>
      <w:r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. Mając na uwadze bezpieczny poziom portfela zamówień oraz </w:t>
      </w:r>
      <w:r w:rsidR="00175884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>bardzo trudną</w:t>
      </w:r>
      <w:r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 sytuację rynkową podchodzimy selektywnie do nowych kontraktów</w:t>
      </w:r>
      <w:r w:rsidR="00882BC4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. </w:t>
      </w:r>
      <w:r w:rsidR="00443ED3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>Na rynku coraz częściej dochodzi do sytuacji, gdzie przedłużające się procedury przetargowe zmuszają oferentów do wycofania ofert. Dzięki temu, pomimo ostrożnego podejścia do składania ofert</w:t>
      </w:r>
      <w:r w:rsidR="00E42DDB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, </w:t>
      </w:r>
      <w:r w:rsidR="00443ED3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w ciągu ostatnich kilku miesięcy pozyskaliśmy kontrakty </w:t>
      </w:r>
      <w:r w:rsidR="00E42DDB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>zajmując pierwotnie dalsze pozycje w rankingu</w:t>
      </w:r>
      <w:r w:rsidR="00175884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>. Dodatkowe kontrakty pozwoliły zrealizować z nawiązką wewnętrzne plany kontraktacji oraz utrzymać portfel zamówień na dobrym poziomie</w:t>
      </w:r>
      <w:r w:rsidR="00761ABC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>,</w:t>
      </w:r>
      <w:r w:rsidR="00175884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 zachowując przy tym odpowiedzialne podejście do kalkulacji marży. </w:t>
      </w:r>
    </w:p>
    <w:p w:rsidR="00F80AF6" w:rsidRPr="002B7A8F" w:rsidRDefault="00F80AF6" w:rsidP="002B7A8F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7F7F7F" w:themeColor="text1" w:themeTint="80"/>
          <w:sz w:val="18"/>
          <w:szCs w:val="20"/>
        </w:rPr>
      </w:pPr>
    </w:p>
    <w:p w:rsidR="00D63FDD" w:rsidRPr="002B7A8F" w:rsidRDefault="00E42DDB" w:rsidP="002B7A8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</w:pPr>
      <w:r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>P</w:t>
      </w:r>
      <w:r w:rsidR="006D6968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>o</w:t>
      </w:r>
      <w:r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 trzech kwartałach</w:t>
      </w:r>
      <w:r w:rsidR="00435CEF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 201</w:t>
      </w:r>
      <w:r w:rsidR="00DC3BBC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>8</w:t>
      </w:r>
      <w:r w:rsidR="00435CEF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 roku odnotowaliśmy </w:t>
      </w:r>
      <w:r w:rsidR="00DC3BBC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>sezonowy</w:t>
      </w:r>
      <w:r w:rsidR="00435CEF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 spadek poziomu gotówki. </w:t>
      </w:r>
      <w:r w:rsidR="009626EB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Na koniec </w:t>
      </w:r>
      <w:r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>września</w:t>
      </w:r>
      <w:r w:rsidR="009626EB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 pozycja gotówkowa netto wyniosła </w:t>
      </w:r>
      <w:r w:rsidR="007318AE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>620</w:t>
      </w:r>
      <w:r w:rsidR="009626EB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 milion</w:t>
      </w:r>
      <w:r w:rsidR="007318AE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>ów</w:t>
      </w:r>
      <w:r w:rsidR="00E91CDC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 złotych. W</w:t>
      </w:r>
      <w:r w:rsidR="007318AE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>e wrześniu</w:t>
      </w:r>
      <w:r w:rsidR="00E91CDC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 2017 roku saldo gotówki netto wyniosło </w:t>
      </w:r>
      <w:r w:rsidR="007318AE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>1 471</w:t>
      </w:r>
      <w:r w:rsidR="00E91CDC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 milionów złotych. </w:t>
      </w:r>
      <w:r w:rsidR="00217295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>W 201</w:t>
      </w:r>
      <w:r w:rsidR="00DC3BBC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>8</w:t>
      </w:r>
      <w:r w:rsidR="00217295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 roku saldo środków pieniężnych spadło </w:t>
      </w:r>
      <w:r w:rsidR="001D31AC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m.in. </w:t>
      </w:r>
      <w:r w:rsidR="00217295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w </w:t>
      </w:r>
      <w:r w:rsidR="00E55F0A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>wyniku</w:t>
      </w:r>
      <w:r w:rsidR="00217295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 sezonowo niższy</w:t>
      </w:r>
      <w:r w:rsidR="00E55F0A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>ch</w:t>
      </w:r>
      <w:r w:rsidR="00217295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 przepływ</w:t>
      </w:r>
      <w:r w:rsidR="00E55F0A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>ów</w:t>
      </w:r>
      <w:r w:rsidR="007318AE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 z działalności operacyjnej</w:t>
      </w:r>
      <w:r w:rsidR="00175884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>, w tym istotneg</w:t>
      </w:r>
      <w:r w:rsidR="001D31AC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o spadku zaliczek kontraktowych. Trudności finansowe branży skłoniły nas </w:t>
      </w:r>
      <w:r w:rsidR="00A26C4B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także </w:t>
      </w:r>
      <w:r w:rsidR="001D31AC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do decyzji o dalszym zwiększeniu skali finansowania podwykonawców poprzez wcześniejsze płatności oraz częste fakturowanie realizowanych prac. </w:t>
      </w:r>
      <w:r w:rsidR="007318AE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>Cały czas obserwujemy opóźnienia</w:t>
      </w:r>
      <w:r w:rsidR="0029439B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 po stronie inwestorów</w:t>
      </w:r>
      <w:r w:rsidR="00202BB1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 </w:t>
      </w:r>
      <w:r w:rsidR="007318AE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w </w:t>
      </w:r>
      <w:r w:rsidR="00202BB1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>proces</w:t>
      </w:r>
      <w:r w:rsidR="007318AE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>ie</w:t>
      </w:r>
      <w:r w:rsidR="00202BB1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 </w:t>
      </w:r>
      <w:r w:rsidR="00E75C31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akceptacji i </w:t>
      </w:r>
      <w:r w:rsidR="00202BB1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fakturowania </w:t>
      </w:r>
      <w:r w:rsidR="007F430C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>wykonanych</w:t>
      </w:r>
      <w:r w:rsidR="00C05647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 </w:t>
      </w:r>
      <w:r w:rsidR="00DA2DBF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>robót</w:t>
      </w:r>
      <w:r w:rsidR="00C05647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>.</w:t>
      </w:r>
      <w:r w:rsidR="007318AE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 Wzrost poziomu biurokracji przekłada się na wyższy </w:t>
      </w:r>
      <w:r w:rsidR="004F5E83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>poziom</w:t>
      </w:r>
      <w:r w:rsidR="00C05647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 sprzedaży niezafakturowanej</w:t>
      </w:r>
      <w:r w:rsidR="00964873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>, który</w:t>
      </w:r>
      <w:r w:rsidR="00C05647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 na koniec </w:t>
      </w:r>
      <w:r w:rsidR="007318AE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>września</w:t>
      </w:r>
      <w:r w:rsidR="00C05647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 2018 był wyższy o </w:t>
      </w:r>
      <w:r w:rsidR="00F32F7D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>20</w:t>
      </w:r>
      <w:r w:rsidR="00C05647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>% niż w</w:t>
      </w:r>
      <w:r w:rsidR="007318AE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>e wrześniu</w:t>
      </w:r>
      <w:r w:rsidR="00C05647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 ubiegłego roku, </w:t>
      </w:r>
      <w:r w:rsidR="00B75428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>wpływając</w:t>
      </w:r>
      <w:r w:rsidR="00C05647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 </w:t>
      </w:r>
      <w:r w:rsidR="00DF4C3D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negatywnie </w:t>
      </w:r>
      <w:r w:rsidR="00C05647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na </w:t>
      </w:r>
      <w:r w:rsidR="00B75428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>saldo</w:t>
      </w:r>
      <w:r w:rsidR="00C05647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 środków pieniężnych. </w:t>
      </w:r>
      <w:r w:rsidR="00DB5BAA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Dodatkowo, zważywszy na rekordowy poziom portfela zamówień </w:t>
      </w:r>
      <w:r w:rsidR="00F32F7D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>i wzrost cen usług podwykonawczych</w:t>
      </w:r>
      <w:r w:rsidR="00964873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>, w ciągu trzech kwartałów 2018 roku</w:t>
      </w:r>
      <w:r w:rsidR="00F32F7D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 </w:t>
      </w:r>
      <w:r w:rsidR="00964873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>ponieśliśmy</w:t>
      </w:r>
      <w:r w:rsidR="00DB5BAA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 nakłady inwestycyjne </w:t>
      </w:r>
      <w:r w:rsidR="00964873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>w kwocie</w:t>
      </w:r>
      <w:r w:rsidR="00DB5BAA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 </w:t>
      </w:r>
      <w:r w:rsidR="00DA2DBF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>około 100</w:t>
      </w:r>
      <w:r w:rsidR="00DB5BAA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 milionów złotych w porównaniu do </w:t>
      </w:r>
      <w:r w:rsidR="00DA2DBF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>około 50</w:t>
      </w:r>
      <w:r w:rsidR="00DB5BAA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 milionów złotych w </w:t>
      </w:r>
      <w:r w:rsidR="00964873" w:rsidRPr="002B7A8F"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  <w:t xml:space="preserve">analogicznym okresie roku ubiegłego. </w:t>
      </w:r>
    </w:p>
    <w:p w:rsidR="000F6389" w:rsidRPr="002B7A8F" w:rsidRDefault="000F6389" w:rsidP="002B7A8F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7F7F7F" w:themeColor="text1" w:themeTint="80"/>
          <w:sz w:val="18"/>
          <w:szCs w:val="20"/>
        </w:rPr>
      </w:pPr>
    </w:p>
    <w:p w:rsidR="000F6389" w:rsidRPr="002B7A8F" w:rsidRDefault="00725AA5" w:rsidP="002B7A8F">
      <w:pPr>
        <w:spacing w:line="360" w:lineRule="auto"/>
        <w:jc w:val="both"/>
        <w:rPr>
          <w:rFonts w:ascii="Tahoma" w:hAnsi="Tahoma" w:cs="Tahoma"/>
          <w:color w:val="7F7F7F" w:themeColor="text1" w:themeTint="80"/>
          <w:sz w:val="18"/>
          <w:szCs w:val="20"/>
        </w:rPr>
      </w:pPr>
      <w:r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Klienci Budimex Nieruchomości w okresie od stycznia </w:t>
      </w:r>
      <w:r w:rsidR="00F32F7D" w:rsidRPr="002B7A8F">
        <w:rPr>
          <w:rFonts w:ascii="Tahoma" w:hAnsi="Tahoma" w:cs="Tahoma"/>
          <w:color w:val="7F7F7F" w:themeColor="text1" w:themeTint="80"/>
          <w:sz w:val="18"/>
          <w:szCs w:val="20"/>
        </w:rPr>
        <w:t>do września 2018 roku podpisali</w:t>
      </w:r>
      <w:r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 1 335 aktów notarialnych </w:t>
      </w:r>
      <w:r w:rsidR="000F6389" w:rsidRPr="002B7A8F">
        <w:rPr>
          <w:rFonts w:ascii="Tahoma" w:hAnsi="Tahoma" w:cs="Tahoma"/>
          <w:color w:val="7F7F7F" w:themeColor="text1" w:themeTint="80"/>
          <w:sz w:val="18"/>
          <w:szCs w:val="20"/>
        </w:rPr>
        <w:t>m.in. w ramach kolejnych etapów inwestycji Wiślany Mokotów, Nowe Czyżyny oraz Osiedl</w:t>
      </w:r>
      <w:r w:rsidR="005B56BA" w:rsidRPr="002B7A8F">
        <w:rPr>
          <w:rFonts w:ascii="Tahoma" w:hAnsi="Tahoma" w:cs="Tahoma"/>
          <w:color w:val="7F7F7F" w:themeColor="text1" w:themeTint="80"/>
          <w:sz w:val="18"/>
          <w:szCs w:val="20"/>
        </w:rPr>
        <w:t>e</w:t>
      </w:r>
      <w:r w:rsidR="000F6389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 przy Rolnej. </w:t>
      </w:r>
      <w:r w:rsidRPr="002B7A8F">
        <w:rPr>
          <w:rFonts w:ascii="Tahoma" w:hAnsi="Tahoma" w:cs="Tahoma"/>
          <w:color w:val="7F7F7F" w:themeColor="text1" w:themeTint="80"/>
          <w:sz w:val="18"/>
          <w:szCs w:val="20"/>
        </w:rPr>
        <w:t>Przychody</w:t>
      </w:r>
      <w:r w:rsidR="005B56BA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 ze sprzedaży</w:t>
      </w:r>
      <w:r w:rsidR="008502BF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 segmentu deweloperskiego </w:t>
      </w:r>
      <w:r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wzrosły o </w:t>
      </w:r>
      <w:r w:rsidR="00FA4347" w:rsidRPr="002B7A8F">
        <w:rPr>
          <w:rFonts w:ascii="Tahoma" w:hAnsi="Tahoma" w:cs="Tahoma"/>
          <w:color w:val="7F7F7F" w:themeColor="text1" w:themeTint="80"/>
          <w:sz w:val="18"/>
          <w:szCs w:val="20"/>
        </w:rPr>
        <w:t>6</w:t>
      </w:r>
      <w:r w:rsidRPr="002B7A8F">
        <w:rPr>
          <w:rFonts w:ascii="Tahoma" w:hAnsi="Tahoma" w:cs="Tahoma"/>
          <w:color w:val="7F7F7F" w:themeColor="text1" w:themeTint="80"/>
          <w:sz w:val="18"/>
          <w:szCs w:val="20"/>
        </w:rPr>
        <w:t>% w stosunku do roku ubiegłego i wyniosły 412 milionów złotych</w:t>
      </w:r>
      <w:r w:rsidR="008502BF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. </w:t>
      </w:r>
      <w:r w:rsidR="00334374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Zysk operacyjny za trzy kwartały </w:t>
      </w:r>
      <w:r w:rsidR="00FA4347" w:rsidRPr="002B7A8F">
        <w:rPr>
          <w:rFonts w:ascii="Tahoma" w:hAnsi="Tahoma" w:cs="Tahoma"/>
          <w:color w:val="7F7F7F" w:themeColor="text1" w:themeTint="80"/>
          <w:sz w:val="18"/>
          <w:szCs w:val="20"/>
        </w:rPr>
        <w:t>wyniósł</w:t>
      </w:r>
      <w:r w:rsidR="00334374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 57 milionów złotych przy rentowności 14,0%. </w:t>
      </w:r>
    </w:p>
    <w:p w:rsidR="00DA2DBF" w:rsidRPr="002B7A8F" w:rsidRDefault="0031262B" w:rsidP="002B7A8F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7F7F7F" w:themeColor="text1" w:themeTint="80"/>
          <w:sz w:val="18"/>
          <w:szCs w:val="20"/>
        </w:rPr>
      </w:pPr>
      <w:r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Po </w:t>
      </w:r>
      <w:r w:rsidR="00725AA5" w:rsidRPr="002B7A8F">
        <w:rPr>
          <w:rFonts w:ascii="Tahoma" w:hAnsi="Tahoma" w:cs="Tahoma"/>
          <w:color w:val="7F7F7F" w:themeColor="text1" w:themeTint="80"/>
          <w:sz w:val="18"/>
          <w:szCs w:val="20"/>
        </w:rPr>
        <w:t>trzech</w:t>
      </w:r>
      <w:r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 kwartałach 2018 roku przedsprzedaż w segmencie deweloperskim osiągnęła poziom </w:t>
      </w:r>
      <w:r w:rsidR="00725AA5" w:rsidRPr="002B7A8F">
        <w:rPr>
          <w:rFonts w:ascii="Tahoma" w:hAnsi="Tahoma" w:cs="Tahoma"/>
          <w:color w:val="7F7F7F" w:themeColor="text1" w:themeTint="80"/>
          <w:sz w:val="18"/>
          <w:szCs w:val="20"/>
        </w:rPr>
        <w:t>810</w:t>
      </w:r>
      <w:r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 mieszkań w porównaniu do </w:t>
      </w:r>
      <w:r w:rsidR="00725AA5" w:rsidRPr="002B7A8F">
        <w:rPr>
          <w:rFonts w:ascii="Tahoma" w:hAnsi="Tahoma" w:cs="Tahoma"/>
          <w:color w:val="7F7F7F" w:themeColor="text1" w:themeTint="80"/>
          <w:sz w:val="18"/>
          <w:szCs w:val="20"/>
        </w:rPr>
        <w:t>1 220</w:t>
      </w:r>
      <w:r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 mieszkań w analogicznym okresie roku poprzedniego. </w:t>
      </w:r>
      <w:r w:rsidR="003417DB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Spadek tempa przedsprzedaży </w:t>
      </w:r>
      <w:r w:rsidR="00A26C4B" w:rsidRPr="002B7A8F">
        <w:rPr>
          <w:rFonts w:ascii="Tahoma" w:hAnsi="Tahoma" w:cs="Tahoma"/>
          <w:color w:val="7F7F7F" w:themeColor="text1" w:themeTint="80"/>
          <w:sz w:val="18"/>
          <w:szCs w:val="20"/>
        </w:rPr>
        <w:t>wynika głównie z przesunięć w uruchamianiu nowych projektów. J</w:t>
      </w:r>
      <w:r w:rsidR="003417DB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est </w:t>
      </w:r>
      <w:r w:rsidR="00A26C4B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to </w:t>
      </w:r>
      <w:r w:rsidR="003417DB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następstwem </w:t>
      </w:r>
      <w:r w:rsidR="00A91AF9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późniejszej finalizacji zakupu nowych gruntów oraz </w:t>
      </w:r>
      <w:r w:rsidR="003417DB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przedłużających się procedur administracyjnych związanych z wydawaniem pozwoleń na budowę. </w:t>
      </w:r>
      <w:r w:rsidR="00DA2DBF" w:rsidRPr="002B7A8F">
        <w:rPr>
          <w:rFonts w:ascii="Tahoma" w:hAnsi="Tahoma" w:cs="Tahoma"/>
          <w:color w:val="7F7F7F" w:themeColor="text1" w:themeTint="80"/>
          <w:sz w:val="18"/>
          <w:szCs w:val="20"/>
        </w:rPr>
        <w:t>Obecnie w budowie jest około 3 tysięcy mieszkań, a na klientów oczekuje jeszcze 1 192 lokale. W ciągu ostatnich 9 miesięcy wydaliśmy 145 milionów złotych na grunty w Krakowie, Poznaniu oraz Trójmieście pozwalające</w:t>
      </w:r>
      <w:r w:rsidR="006871B5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 na budowę ponad 2 800 lokali. </w:t>
      </w:r>
      <w:r w:rsidR="00DA2DBF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W konsekwencji bank ziemi na koniec września 2018 wzrósł do 9,6 tysiąca mieszkań. </w:t>
      </w:r>
    </w:p>
    <w:p w:rsidR="00DA2DBF" w:rsidRPr="002B7A8F" w:rsidRDefault="00DA2DBF" w:rsidP="002B7A8F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7F7F7F" w:themeColor="text1" w:themeTint="80"/>
          <w:sz w:val="18"/>
          <w:szCs w:val="20"/>
        </w:rPr>
      </w:pPr>
    </w:p>
    <w:p w:rsidR="00A26C4B" w:rsidRPr="002B7A8F" w:rsidRDefault="00A26C4B" w:rsidP="002B7A8F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7F7F7F" w:themeColor="text1" w:themeTint="80"/>
          <w:sz w:val="18"/>
          <w:szCs w:val="20"/>
        </w:rPr>
      </w:pPr>
      <w:r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Popyt na rynku mieszkaniowym wciąż utrzymuje się na wysokim poziomie. Widoczny jest natomiast trend wzrostowy w zakresie cen wykonawstwa oraz gruntów, który </w:t>
      </w:r>
      <w:r w:rsidR="00DA2DBF" w:rsidRPr="002B7A8F">
        <w:rPr>
          <w:rFonts w:ascii="Tahoma" w:hAnsi="Tahoma" w:cs="Tahoma"/>
          <w:color w:val="7F7F7F" w:themeColor="text1" w:themeTint="80"/>
          <w:sz w:val="18"/>
          <w:szCs w:val="20"/>
        </w:rPr>
        <w:t>przekłada się</w:t>
      </w:r>
      <w:r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 na wzrost cen mieszkań. Niewykluczone, że w kolejnych kwartałach może to odbić się negatywnie na </w:t>
      </w:r>
      <w:r w:rsidR="006871B5" w:rsidRPr="002B7A8F">
        <w:rPr>
          <w:rFonts w:ascii="Tahoma" w:hAnsi="Tahoma" w:cs="Tahoma"/>
          <w:color w:val="7F7F7F" w:themeColor="text1" w:themeTint="80"/>
          <w:sz w:val="18"/>
          <w:szCs w:val="20"/>
        </w:rPr>
        <w:t>tempie</w:t>
      </w:r>
      <w:r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 przedsprzedaży</w:t>
      </w:r>
      <w:r w:rsidR="006871B5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 nowych projektów deweloperskich</w:t>
      </w:r>
      <w:r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. </w:t>
      </w:r>
    </w:p>
    <w:p w:rsidR="00663074" w:rsidRPr="002B7A8F" w:rsidRDefault="00663074" w:rsidP="002B7A8F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7F7F7F" w:themeColor="text1" w:themeTint="80"/>
          <w:sz w:val="18"/>
          <w:szCs w:val="20"/>
        </w:rPr>
      </w:pPr>
    </w:p>
    <w:p w:rsidR="00AC7243" w:rsidRPr="002B7A8F" w:rsidRDefault="00725AA5" w:rsidP="002B7A8F">
      <w:pPr>
        <w:spacing w:line="360" w:lineRule="auto"/>
        <w:jc w:val="both"/>
        <w:rPr>
          <w:rFonts w:ascii="Tahoma" w:eastAsia="Times New Roman" w:hAnsi="Tahoma" w:cs="Tahoma"/>
          <w:color w:val="7F7F7F" w:themeColor="text1" w:themeTint="80"/>
          <w:sz w:val="18"/>
          <w:szCs w:val="20"/>
          <w:lang w:eastAsia="pl-PL"/>
        </w:rPr>
      </w:pPr>
      <w:r w:rsidRPr="002B7A8F">
        <w:rPr>
          <w:rFonts w:ascii="Tahoma" w:hAnsi="Tahoma" w:cs="Tahoma"/>
          <w:color w:val="7F7F7F" w:themeColor="text1" w:themeTint="80"/>
          <w:sz w:val="18"/>
          <w:szCs w:val="20"/>
        </w:rPr>
        <w:lastRenderedPageBreak/>
        <w:t>Na koniec września</w:t>
      </w:r>
      <w:r w:rsidR="001E3DA9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 2018 roku zatrudnienie w Grupie Budimex </w:t>
      </w:r>
      <w:r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przekraczało 7 000 </w:t>
      </w:r>
      <w:r w:rsidR="001E3DA9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 osób </w:t>
      </w:r>
      <w:r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i było zbliżone do stanu z końca czerwca. </w:t>
      </w:r>
      <w:r w:rsidR="00334374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Kontynuowana od kilku kwartałów polityka rozbudowy sił własnych okazała się dobrym wyborem. Zespół zatrudnionych pracowników fizycznych pozwala nam na wyższy stopień samodzielności </w:t>
      </w:r>
      <w:r w:rsidR="0092117A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w </w:t>
      </w:r>
      <w:r w:rsidR="00334374" w:rsidRPr="002B7A8F">
        <w:rPr>
          <w:rFonts w:ascii="Tahoma" w:hAnsi="Tahoma" w:cs="Tahoma"/>
          <w:color w:val="7F7F7F" w:themeColor="text1" w:themeTint="80"/>
          <w:sz w:val="18"/>
          <w:szCs w:val="20"/>
        </w:rPr>
        <w:t>realizowanych prac</w:t>
      </w:r>
      <w:r w:rsidR="0092117A" w:rsidRPr="002B7A8F">
        <w:rPr>
          <w:rFonts w:ascii="Tahoma" w:hAnsi="Tahoma" w:cs="Tahoma"/>
          <w:color w:val="7F7F7F" w:themeColor="text1" w:themeTint="80"/>
          <w:sz w:val="18"/>
          <w:szCs w:val="20"/>
        </w:rPr>
        <w:t>ach</w:t>
      </w:r>
      <w:r w:rsidR="00334374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 i zarządzanie ryzykiem wzrostu cen usług opartych na koszcie robocizny. Dodatkowe intensywne inwestycje w park maszynowy wzmacniają naszą pozycję przy </w:t>
      </w:r>
      <w:r w:rsidR="00C659B6" w:rsidRPr="002B7A8F">
        <w:rPr>
          <w:rFonts w:ascii="Tahoma" w:hAnsi="Tahoma" w:cs="Tahoma"/>
          <w:color w:val="7F7F7F" w:themeColor="text1" w:themeTint="80"/>
          <w:sz w:val="18"/>
          <w:szCs w:val="20"/>
        </w:rPr>
        <w:t>podejmowaniu decyzji</w:t>
      </w:r>
      <w:r w:rsidR="00334374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 o wyborze i zatrudnieniu podwykonawców. </w:t>
      </w:r>
    </w:p>
    <w:p w:rsidR="00AD3EBB" w:rsidRPr="002B7A8F" w:rsidRDefault="006D6968" w:rsidP="002B7A8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7F7F7F" w:themeColor="text1" w:themeTint="80"/>
          <w:sz w:val="18"/>
          <w:szCs w:val="20"/>
        </w:rPr>
      </w:pPr>
      <w:r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Jesteśmy spółką, która pomimo trudnych warunków rynkowych dotrzymuje zobowiązań kontraktowych </w:t>
      </w:r>
      <w:r w:rsidR="00C659B6" w:rsidRPr="002B7A8F">
        <w:rPr>
          <w:rFonts w:ascii="Tahoma" w:hAnsi="Tahoma" w:cs="Tahoma"/>
          <w:color w:val="7F7F7F" w:themeColor="text1" w:themeTint="80"/>
          <w:sz w:val="18"/>
          <w:szCs w:val="20"/>
        </w:rPr>
        <w:br/>
      </w:r>
      <w:r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i realizuje powierzone zadania zgodnie z zapisami, dbając przy tym o najwyższą jakość. </w:t>
      </w:r>
      <w:r w:rsidR="00AC7243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Branża coraz bardziej </w:t>
      </w:r>
      <w:r w:rsidR="00F32F7D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odczuwa </w:t>
      </w:r>
      <w:r w:rsidR="00AC7243" w:rsidRPr="002B7A8F">
        <w:rPr>
          <w:rFonts w:ascii="Tahoma" w:hAnsi="Tahoma" w:cs="Tahoma"/>
          <w:color w:val="7F7F7F" w:themeColor="text1" w:themeTint="80"/>
          <w:sz w:val="18"/>
          <w:szCs w:val="20"/>
        </w:rPr>
        <w:t>wzrost kosztów materiałów</w:t>
      </w:r>
      <w:r w:rsidR="00C659B6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 </w:t>
      </w:r>
      <w:r w:rsidR="00AC7243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oraz robocizny. Obserwujemy </w:t>
      </w:r>
      <w:r w:rsidR="000E07D2" w:rsidRPr="002B7A8F">
        <w:rPr>
          <w:rFonts w:ascii="Tahoma" w:hAnsi="Tahoma" w:cs="Tahoma"/>
          <w:color w:val="7F7F7F" w:themeColor="text1" w:themeTint="80"/>
          <w:sz w:val="18"/>
          <w:szCs w:val="20"/>
        </w:rPr>
        <w:t>stałe</w:t>
      </w:r>
      <w:r w:rsidR="00AC7243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 pogarszanie się kondycji finansowej naszych kontrahentów, które </w:t>
      </w:r>
      <w:r w:rsidR="0092117A" w:rsidRPr="002B7A8F">
        <w:rPr>
          <w:rFonts w:ascii="Tahoma" w:hAnsi="Tahoma" w:cs="Tahoma"/>
          <w:color w:val="7F7F7F" w:themeColor="text1" w:themeTint="80"/>
          <w:sz w:val="18"/>
          <w:szCs w:val="20"/>
        </w:rPr>
        <w:t>coraz częściej</w:t>
      </w:r>
      <w:r w:rsidR="00AC7243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 skutkuje bankructwem. </w:t>
      </w:r>
      <w:r w:rsidR="00F32F7D" w:rsidRPr="002B7A8F">
        <w:rPr>
          <w:rFonts w:ascii="Tahoma" w:hAnsi="Tahoma" w:cs="Tahoma"/>
          <w:color w:val="7F7F7F" w:themeColor="text1" w:themeTint="80"/>
          <w:sz w:val="18"/>
          <w:szCs w:val="20"/>
        </w:rPr>
        <w:t>Dlatego też k</w:t>
      </w:r>
      <w:r w:rsidR="00AC7243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onsekwentnie staramy się wspierać naszych podwykonawców, oferując wcześniejsze płatności oraz umożliwiając częste i sprawne fakturowanie wykonanych prac. </w:t>
      </w:r>
    </w:p>
    <w:p w:rsidR="00260221" w:rsidRPr="002B7A8F" w:rsidRDefault="00F32F7D" w:rsidP="002B7A8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7F7F7F" w:themeColor="text1" w:themeTint="80"/>
          <w:sz w:val="18"/>
          <w:szCs w:val="20"/>
        </w:rPr>
      </w:pPr>
      <w:r w:rsidRPr="002B7A8F">
        <w:rPr>
          <w:rFonts w:ascii="Tahoma" w:hAnsi="Tahoma" w:cs="Tahoma"/>
          <w:color w:val="7F7F7F" w:themeColor="text1" w:themeTint="80"/>
          <w:sz w:val="18"/>
          <w:szCs w:val="20"/>
        </w:rPr>
        <w:t>Ze względu na brak rozwiązań w zakresie waloryzacji oraz galopujący wzrost cen wykonawstwa</w:t>
      </w:r>
      <w:r w:rsidR="00C659B6" w:rsidRPr="002B7A8F">
        <w:rPr>
          <w:rFonts w:ascii="Tahoma" w:hAnsi="Tahoma" w:cs="Tahoma"/>
          <w:color w:val="7F7F7F" w:themeColor="text1" w:themeTint="80"/>
          <w:sz w:val="18"/>
          <w:szCs w:val="20"/>
        </w:rPr>
        <w:t>,</w:t>
      </w:r>
      <w:r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 rentowność kolejnych kwartałów </w:t>
      </w:r>
      <w:r w:rsidR="00FE7B32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w branży oraz w </w:t>
      </w:r>
      <w:r w:rsidR="002F3446" w:rsidRPr="002B7A8F">
        <w:rPr>
          <w:rFonts w:ascii="Tahoma" w:hAnsi="Tahoma" w:cs="Tahoma"/>
          <w:color w:val="7F7F7F" w:themeColor="text1" w:themeTint="80"/>
          <w:sz w:val="18"/>
          <w:szCs w:val="20"/>
        </w:rPr>
        <w:t>segmencie budowlanym Grupy Budimex</w:t>
      </w:r>
      <w:r w:rsidR="00FE7B32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 </w:t>
      </w:r>
      <w:r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może pozostawać pod presją. </w:t>
      </w:r>
      <w:r w:rsidR="00FE7B32" w:rsidRPr="002B7A8F">
        <w:rPr>
          <w:rFonts w:ascii="Tahoma" w:hAnsi="Tahoma" w:cs="Tahoma"/>
          <w:color w:val="7F7F7F" w:themeColor="text1" w:themeTint="80"/>
          <w:sz w:val="18"/>
          <w:szCs w:val="20"/>
        </w:rPr>
        <w:t>Postrzegamy aktualny poziom portfela zamówień Grupy jako bezpieczny</w:t>
      </w:r>
      <w:r w:rsidR="00C659B6" w:rsidRPr="002B7A8F">
        <w:rPr>
          <w:rFonts w:ascii="Tahoma" w:hAnsi="Tahoma" w:cs="Tahoma"/>
          <w:color w:val="7F7F7F" w:themeColor="text1" w:themeTint="80"/>
          <w:sz w:val="18"/>
          <w:szCs w:val="20"/>
        </w:rPr>
        <w:t>.</w:t>
      </w:r>
      <w:r w:rsidR="00FE7B32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 </w:t>
      </w:r>
      <w:r w:rsidR="00C659B6" w:rsidRPr="002B7A8F">
        <w:rPr>
          <w:rFonts w:ascii="Tahoma" w:hAnsi="Tahoma" w:cs="Tahoma"/>
          <w:color w:val="7F7F7F" w:themeColor="text1" w:themeTint="80"/>
          <w:sz w:val="18"/>
          <w:szCs w:val="20"/>
        </w:rPr>
        <w:br/>
        <w:t>O</w:t>
      </w:r>
      <w:r w:rsidR="00FE7B32" w:rsidRPr="002B7A8F">
        <w:rPr>
          <w:rFonts w:ascii="Tahoma" w:hAnsi="Tahoma" w:cs="Tahoma"/>
          <w:color w:val="7F7F7F" w:themeColor="text1" w:themeTint="80"/>
          <w:sz w:val="18"/>
          <w:szCs w:val="20"/>
        </w:rPr>
        <w:t>ceniamy jego kondycję jako relatywnie dobrą</w:t>
      </w:r>
      <w:r w:rsidR="00C659B6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 i</w:t>
      </w:r>
      <w:r w:rsidR="00FE7B32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 nie spodziewamy się </w:t>
      </w:r>
      <w:r w:rsidR="00C659B6" w:rsidRPr="002B7A8F">
        <w:rPr>
          <w:rFonts w:ascii="Tahoma" w:hAnsi="Tahoma" w:cs="Tahoma"/>
          <w:color w:val="7F7F7F" w:themeColor="text1" w:themeTint="80"/>
          <w:sz w:val="18"/>
          <w:szCs w:val="20"/>
        </w:rPr>
        <w:t>załamania</w:t>
      </w:r>
      <w:r w:rsidR="00FE7B32"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 rentowności. </w:t>
      </w:r>
      <w:r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Pomimo pogarszającej się sytuacji </w:t>
      </w:r>
      <w:r w:rsidR="000E07D2" w:rsidRPr="002B7A8F">
        <w:rPr>
          <w:rFonts w:ascii="Tahoma" w:hAnsi="Tahoma" w:cs="Tahoma"/>
          <w:color w:val="7F7F7F" w:themeColor="text1" w:themeTint="80"/>
          <w:sz w:val="18"/>
          <w:szCs w:val="20"/>
        </w:rPr>
        <w:t>w branży</w:t>
      </w:r>
      <w:r w:rsidRPr="002B7A8F">
        <w:rPr>
          <w:rFonts w:ascii="Tahoma" w:hAnsi="Tahoma" w:cs="Tahoma"/>
          <w:color w:val="7F7F7F" w:themeColor="text1" w:themeTint="80"/>
          <w:sz w:val="18"/>
          <w:szCs w:val="20"/>
        </w:rPr>
        <w:t xml:space="preserve"> będziemy walczyć o utrzymanie rentowności powyżej wskaźników rynkowych. </w:t>
      </w:r>
    </w:p>
    <w:p w:rsidR="00DA2DBF" w:rsidRPr="002B7A8F" w:rsidRDefault="00C82E68" w:rsidP="002B7A8F">
      <w:pPr>
        <w:spacing w:line="360" w:lineRule="auto"/>
        <w:jc w:val="both"/>
        <w:rPr>
          <w:rFonts w:ascii="Tahoma" w:hAnsi="Tahoma" w:cs="Tahoma"/>
          <w:color w:val="7F7F7F" w:themeColor="text1" w:themeTint="80"/>
          <w:sz w:val="16"/>
          <w:szCs w:val="20"/>
        </w:rPr>
      </w:pPr>
      <w:r w:rsidRPr="002B7A8F">
        <w:rPr>
          <w:rFonts w:ascii="Tahoma" w:hAnsi="Tahoma" w:cs="Tahoma"/>
          <w:color w:val="7F7F7F" w:themeColor="text1" w:themeTint="80"/>
          <w:sz w:val="16"/>
          <w:szCs w:val="20"/>
        </w:rPr>
        <w:t xml:space="preserve">BUDIMEX SA jest polską spółką z pięćdziesięcioletnią tradycją, która ma znaczący udział w rozwoju gospodarczym Polski. W okresie 50 lat istnienia firma zrealizowała tysiące nowoczesnych inwestycji infrastrukturalnych, kubaturowych i przemysłowych. Kultura innowacyjności, doskonalenie i kierowanie się zasadami zrównoważonego rozwoju pozwoliły Budimeksowi zdobyć pozycję lidera polskiego rynku budowlanego. </w:t>
      </w:r>
      <w:r w:rsidR="00535F68" w:rsidRPr="002B7A8F">
        <w:rPr>
          <w:rFonts w:ascii="Tahoma" w:hAnsi="Tahoma" w:cs="Tahoma"/>
          <w:color w:val="7F7F7F" w:themeColor="text1" w:themeTint="80"/>
          <w:sz w:val="16"/>
          <w:szCs w:val="20"/>
        </w:rPr>
        <w:t>Grupa Budimex</w:t>
      </w:r>
      <w:r w:rsidRPr="002B7A8F">
        <w:rPr>
          <w:rFonts w:ascii="Tahoma" w:hAnsi="Tahoma" w:cs="Tahoma"/>
          <w:color w:val="7F7F7F" w:themeColor="text1" w:themeTint="80"/>
          <w:sz w:val="16"/>
          <w:szCs w:val="20"/>
        </w:rPr>
        <w:t xml:space="preserve"> realizuje obecnie w całej Polsce 300 kontraktów budowlanych i zatrudnia 7 tysięcy pracowników. Partnerami firmy jest ok. 15 000 podwyk</w:t>
      </w:r>
      <w:r w:rsidR="00535F68" w:rsidRPr="002B7A8F">
        <w:rPr>
          <w:rFonts w:ascii="Tahoma" w:hAnsi="Tahoma" w:cs="Tahoma"/>
          <w:color w:val="7F7F7F" w:themeColor="text1" w:themeTint="80"/>
          <w:sz w:val="16"/>
          <w:szCs w:val="20"/>
        </w:rPr>
        <w:t>onawców i kontrahentów. Budimex</w:t>
      </w:r>
      <w:r w:rsidRPr="002B7A8F">
        <w:rPr>
          <w:rFonts w:ascii="Tahoma" w:hAnsi="Tahoma" w:cs="Tahoma"/>
          <w:color w:val="7F7F7F" w:themeColor="text1" w:themeTint="80"/>
          <w:sz w:val="16"/>
          <w:szCs w:val="20"/>
        </w:rPr>
        <w:t xml:space="preserve"> jest największym płatnikiem podatków w Polsce wśród wszystkich firm budowlanych. Budimex stopniowo zwiększa swoje zaangażowanie w sektorze facility management (obsługa nieruchomości i obiektów infrastruktury) oraz gospodarki odpadami. Od 1995 roku Budimex jest notowany na warszawskiej GPW, a od roku 2011 wchodzi w skład indeksu RESPECT – najbardziej odpowiedzialnych spółek giełdowych. Inwestorem strategicznym Budimeksu jest hiszpańska firma o globalnym zasięgu – Ferrovial. W skład grupy wchodzą: Budimex Nieruchomości i Mostostal Kraków.</w:t>
      </w:r>
      <w:r w:rsidR="00535F68" w:rsidRPr="002B7A8F">
        <w:rPr>
          <w:rFonts w:ascii="Tahoma" w:hAnsi="Tahoma" w:cs="Tahoma"/>
          <w:color w:val="7F7F7F" w:themeColor="text1" w:themeTint="80"/>
          <w:sz w:val="16"/>
          <w:szCs w:val="20"/>
        </w:rPr>
        <w:t xml:space="preserve"> Budimex</w:t>
      </w:r>
      <w:r w:rsidRPr="002B7A8F">
        <w:rPr>
          <w:rFonts w:ascii="Tahoma" w:hAnsi="Tahoma" w:cs="Tahoma"/>
          <w:color w:val="7F7F7F" w:themeColor="text1" w:themeTint="80"/>
          <w:sz w:val="16"/>
          <w:szCs w:val="20"/>
        </w:rPr>
        <w:t xml:space="preserve"> jest jednym z sygnatariuszy Porozumienia dla Bezpieczeństwa w Budownictwie – inicjatywy utworzonej w 2010 r., zrzeszającej największych generalnych wykonawców w Polsce w celu podniesienia poziomu bezpieczeństwa pracy w branży budowlanej.</w:t>
      </w:r>
    </w:p>
    <w:p w:rsidR="00F83DA9" w:rsidRPr="00DA2DBF" w:rsidRDefault="00F83DA9" w:rsidP="00F83DA9">
      <w:pPr>
        <w:spacing w:line="360" w:lineRule="auto"/>
        <w:jc w:val="both"/>
        <w:rPr>
          <w:rFonts w:ascii="Tahoma" w:hAnsi="Tahoma" w:cs="Tahoma"/>
          <w:i/>
        </w:rPr>
      </w:pPr>
    </w:p>
    <w:p w:rsidR="00DA2DBF" w:rsidRDefault="00DA2DBF" w:rsidP="00FA4347">
      <w:pPr>
        <w:spacing w:line="360" w:lineRule="auto"/>
        <w:jc w:val="both"/>
        <w:rPr>
          <w:rFonts w:ascii="Tahoma" w:hAnsi="Tahoma" w:cs="Tahoma"/>
          <w:b/>
        </w:rPr>
      </w:pPr>
    </w:p>
    <w:p w:rsidR="00DA2DBF" w:rsidRDefault="00DA2DBF" w:rsidP="00FA4347">
      <w:pPr>
        <w:spacing w:line="360" w:lineRule="auto"/>
        <w:jc w:val="both"/>
        <w:rPr>
          <w:rFonts w:ascii="Tahoma" w:hAnsi="Tahoma" w:cs="Tahoma"/>
          <w:b/>
        </w:rPr>
      </w:pPr>
    </w:p>
    <w:p w:rsidR="00DA2DBF" w:rsidRDefault="00DA2DBF" w:rsidP="00FA4347">
      <w:pPr>
        <w:spacing w:line="360" w:lineRule="auto"/>
        <w:jc w:val="both"/>
        <w:rPr>
          <w:rFonts w:ascii="Tahoma" w:hAnsi="Tahoma" w:cs="Tahoma"/>
          <w:b/>
        </w:rPr>
      </w:pPr>
    </w:p>
    <w:p w:rsidR="00DA2DBF" w:rsidRDefault="00DA2DBF" w:rsidP="00FA4347">
      <w:pPr>
        <w:spacing w:line="360" w:lineRule="auto"/>
        <w:jc w:val="both"/>
        <w:rPr>
          <w:rFonts w:ascii="Tahoma" w:hAnsi="Tahoma" w:cs="Tahoma"/>
          <w:b/>
        </w:rPr>
      </w:pPr>
    </w:p>
    <w:p w:rsidR="00DA2DBF" w:rsidRDefault="00DA2DBF" w:rsidP="00FA4347">
      <w:pPr>
        <w:spacing w:line="360" w:lineRule="auto"/>
        <w:jc w:val="both"/>
        <w:rPr>
          <w:rFonts w:ascii="Tahoma" w:hAnsi="Tahoma" w:cs="Tahoma"/>
          <w:b/>
        </w:rPr>
      </w:pPr>
    </w:p>
    <w:p w:rsidR="00DA2DBF" w:rsidRDefault="00DA2DBF" w:rsidP="00FA4347">
      <w:pPr>
        <w:spacing w:line="360" w:lineRule="auto"/>
        <w:jc w:val="both"/>
        <w:rPr>
          <w:rFonts w:ascii="Tahoma" w:hAnsi="Tahoma" w:cs="Tahoma"/>
          <w:b/>
        </w:rPr>
      </w:pPr>
    </w:p>
    <w:p w:rsidR="00DA2DBF" w:rsidRDefault="00DA2DBF" w:rsidP="00FA4347">
      <w:pPr>
        <w:spacing w:line="360" w:lineRule="auto"/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FA4347" w:rsidRPr="002B7A8F" w:rsidRDefault="00FA4347" w:rsidP="00FA4347">
      <w:pPr>
        <w:spacing w:line="360" w:lineRule="auto"/>
        <w:jc w:val="both"/>
        <w:rPr>
          <w:rFonts w:ascii="Tahoma" w:hAnsi="Tahoma" w:cs="Tahoma"/>
          <w:b/>
          <w:color w:val="FFC000"/>
        </w:rPr>
      </w:pPr>
      <w:r w:rsidRPr="002B7A8F">
        <w:rPr>
          <w:rFonts w:ascii="Tahoma" w:hAnsi="Tahoma" w:cs="Tahoma"/>
          <w:b/>
          <w:color w:val="FFC000"/>
        </w:rPr>
        <w:t xml:space="preserve">Grupa BUDIMEX </w:t>
      </w:r>
    </w:p>
    <w:p w:rsidR="00FA4347" w:rsidRPr="002B7A8F" w:rsidRDefault="00FA4347" w:rsidP="00FA4347">
      <w:pPr>
        <w:spacing w:line="360" w:lineRule="auto"/>
        <w:jc w:val="both"/>
        <w:rPr>
          <w:rFonts w:ascii="Tahoma" w:hAnsi="Tahoma" w:cs="Tahoma"/>
          <w:color w:val="7F7F7F" w:themeColor="text1" w:themeTint="80"/>
        </w:rPr>
      </w:pPr>
      <w:r w:rsidRPr="002B7A8F">
        <w:rPr>
          <w:rFonts w:ascii="Tahoma" w:hAnsi="Tahoma" w:cs="Tahoma"/>
          <w:color w:val="7F7F7F" w:themeColor="text1" w:themeTint="80"/>
        </w:rPr>
        <w:t xml:space="preserve">Wybrane dane finansowe ze skonsolidowanego sprawozdania Grupy Budimex sporządzonego zgodnie z Międzynarodowymi Standardami Sprawozdawczości Finansowej (MSSF) za III kwartały 2018 roku oraz porównywalne dane za III kwartały 2017 roku. </w:t>
      </w:r>
    </w:p>
    <w:p w:rsidR="00FA4347" w:rsidRPr="002B7A8F" w:rsidRDefault="00FA4347" w:rsidP="00FA4347">
      <w:pPr>
        <w:autoSpaceDE w:val="0"/>
        <w:autoSpaceDN w:val="0"/>
        <w:adjustRightInd w:val="0"/>
        <w:jc w:val="both"/>
        <w:rPr>
          <w:rFonts w:ascii="Tahoma" w:hAnsi="Tahoma" w:cs="Tahoma"/>
          <w:color w:val="FFC000"/>
          <w:u w:val="single"/>
        </w:rPr>
      </w:pPr>
      <w:r w:rsidRPr="002B7A8F">
        <w:rPr>
          <w:rFonts w:ascii="Tahoma" w:hAnsi="Tahoma" w:cs="Tahoma"/>
          <w:color w:val="FFC000"/>
          <w:u w:val="single"/>
        </w:rPr>
        <w:t xml:space="preserve">Wyniki segmentów sprawozdawczych </w:t>
      </w:r>
      <w:r w:rsidRPr="002B7A8F">
        <w:rPr>
          <w:rFonts w:ascii="Tahoma" w:hAnsi="Tahoma" w:cs="Tahoma"/>
          <w:b/>
          <w:color w:val="FFC000"/>
          <w:u w:val="single"/>
        </w:rPr>
        <w:t xml:space="preserve">za 9 miesięcy 2018 roku </w:t>
      </w:r>
      <w:r w:rsidRPr="002B7A8F">
        <w:rPr>
          <w:rFonts w:ascii="Tahoma" w:hAnsi="Tahoma" w:cs="Tahoma"/>
          <w:color w:val="FFC000"/>
          <w:u w:val="single"/>
        </w:rPr>
        <w:t xml:space="preserve">(w tysiącach złotych): 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6"/>
        <w:gridCol w:w="1253"/>
        <w:gridCol w:w="1253"/>
        <w:gridCol w:w="1109"/>
        <w:gridCol w:w="997"/>
        <w:gridCol w:w="1554"/>
      </w:tblGrid>
      <w:tr w:rsidR="002B7A8F" w:rsidRPr="002B7A8F" w:rsidTr="0006339F">
        <w:trPr>
          <w:trHeight w:val="840"/>
        </w:trPr>
        <w:tc>
          <w:tcPr>
            <w:tcW w:w="2906" w:type="dxa"/>
          </w:tcPr>
          <w:p w:rsidR="00FA4347" w:rsidRPr="002B7A8F" w:rsidRDefault="00FA4347" w:rsidP="0006339F">
            <w:pPr>
              <w:ind w:right="180"/>
              <w:rPr>
                <w:rFonts w:ascii="Tahoma" w:eastAsia="Arial Unicode MS" w:hAnsi="Tahoma" w:cs="Tahoma"/>
                <w:color w:val="FFC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FA4347" w:rsidRPr="002B7A8F" w:rsidRDefault="00FA4347" w:rsidP="0006339F">
            <w:pPr>
              <w:jc w:val="center"/>
              <w:rPr>
                <w:rFonts w:ascii="Tahoma" w:eastAsia="Arial Unicode MS" w:hAnsi="Tahoma" w:cs="Tahoma"/>
                <w:bCs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Segment budowlany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FA4347" w:rsidRPr="002B7A8F" w:rsidRDefault="00FA4347" w:rsidP="0006339F">
            <w:pPr>
              <w:jc w:val="center"/>
              <w:rPr>
                <w:rFonts w:ascii="Tahoma" w:eastAsia="Arial Unicode MS" w:hAnsi="Tahoma" w:cs="Tahoma"/>
                <w:bCs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Segment deweloperski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FA4347" w:rsidRPr="002B7A8F" w:rsidRDefault="00FA4347" w:rsidP="0006339F">
            <w:pPr>
              <w:jc w:val="center"/>
              <w:rPr>
                <w:rFonts w:ascii="Tahoma" w:eastAsia="Arial Unicode MS" w:hAnsi="Tahoma" w:cs="Tahoma"/>
                <w:bCs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Pozostała działalność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FA4347" w:rsidRPr="002B7A8F" w:rsidRDefault="00FA4347" w:rsidP="0006339F">
            <w:pPr>
              <w:jc w:val="center"/>
              <w:rPr>
                <w:rFonts w:ascii="Tahoma" w:eastAsia="Arial Unicode MS" w:hAnsi="Tahoma" w:cs="Tahoma"/>
                <w:bCs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Wyłączenia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FA4347" w:rsidRPr="002B7A8F" w:rsidRDefault="00FA4347" w:rsidP="0006339F">
            <w:pPr>
              <w:ind w:left="137"/>
              <w:jc w:val="both"/>
              <w:rPr>
                <w:rFonts w:ascii="Tahoma" w:eastAsia="Arial Unicode MS" w:hAnsi="Tahoma" w:cs="Tahoma"/>
                <w:b/>
                <w:bCs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b/>
                <w:bCs/>
                <w:color w:val="7F7F7F" w:themeColor="text1" w:themeTint="80"/>
                <w:sz w:val="16"/>
                <w:szCs w:val="16"/>
              </w:rPr>
              <w:t xml:space="preserve">Dane skonsolidowane </w:t>
            </w:r>
          </w:p>
        </w:tc>
      </w:tr>
      <w:tr w:rsidR="002B7A8F" w:rsidRPr="002B7A8F" w:rsidTr="0006339F">
        <w:trPr>
          <w:trHeight w:val="57"/>
        </w:trPr>
        <w:tc>
          <w:tcPr>
            <w:tcW w:w="2906" w:type="dxa"/>
            <w:vAlign w:val="center"/>
          </w:tcPr>
          <w:p w:rsidR="00FA4347" w:rsidRPr="002B7A8F" w:rsidRDefault="00FA4347" w:rsidP="0006339F">
            <w:pPr>
              <w:spacing w:before="40" w:after="60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Przychody netto ze sprzedaży  produktów, towarów i materiałów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314"/>
              <w:jc w:val="right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5 098 792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314"/>
              <w:jc w:val="right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411 643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314"/>
              <w:jc w:val="right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99 994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5"/>
              <w:jc w:val="center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(220 754)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138"/>
              <w:jc w:val="right"/>
              <w:rPr>
                <w:rFonts w:ascii="Tahoma" w:hAnsi="Tahoma" w:cs="Tahoma"/>
                <w:b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b/>
                <w:color w:val="7F7F7F" w:themeColor="text1" w:themeTint="80"/>
                <w:sz w:val="16"/>
                <w:szCs w:val="16"/>
              </w:rPr>
              <w:t>5 389 675</w:t>
            </w:r>
          </w:p>
        </w:tc>
      </w:tr>
      <w:tr w:rsidR="002B7A8F" w:rsidRPr="002B7A8F" w:rsidTr="0006339F">
        <w:trPr>
          <w:trHeight w:val="196"/>
        </w:trPr>
        <w:tc>
          <w:tcPr>
            <w:tcW w:w="2906" w:type="dxa"/>
            <w:vAlign w:val="center"/>
          </w:tcPr>
          <w:p w:rsidR="00FA4347" w:rsidRPr="002B7A8F" w:rsidRDefault="00FA4347" w:rsidP="0006339F">
            <w:pPr>
              <w:spacing w:before="40" w:after="60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Zysk brutto ze sprzedaży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5"/>
              <w:jc w:val="center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353 310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5"/>
              <w:jc w:val="center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86 928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5"/>
              <w:jc w:val="center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13 896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5"/>
              <w:jc w:val="center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(8 421)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141"/>
              <w:jc w:val="right"/>
              <w:rPr>
                <w:rFonts w:ascii="Tahoma" w:hAnsi="Tahoma" w:cs="Tahoma"/>
                <w:b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b/>
                <w:color w:val="7F7F7F" w:themeColor="text1" w:themeTint="80"/>
                <w:sz w:val="16"/>
                <w:szCs w:val="16"/>
              </w:rPr>
              <w:t>445 713</w:t>
            </w:r>
          </w:p>
        </w:tc>
      </w:tr>
      <w:tr w:rsidR="002B7A8F" w:rsidRPr="002B7A8F" w:rsidTr="0006339F">
        <w:trPr>
          <w:trHeight w:val="196"/>
        </w:trPr>
        <w:tc>
          <w:tcPr>
            <w:tcW w:w="2906" w:type="dxa"/>
            <w:vAlign w:val="center"/>
          </w:tcPr>
          <w:p w:rsidR="00FA4347" w:rsidRPr="002B7A8F" w:rsidRDefault="00FA4347" w:rsidP="0006339F">
            <w:pPr>
              <w:spacing w:before="40" w:after="60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Koszty sprzedaży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314"/>
              <w:jc w:val="right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(7 340)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314"/>
              <w:jc w:val="right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(10 987)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314"/>
              <w:jc w:val="right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(3 754)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5"/>
              <w:jc w:val="center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141"/>
              <w:jc w:val="right"/>
              <w:rPr>
                <w:rFonts w:ascii="Tahoma" w:hAnsi="Tahoma" w:cs="Tahoma"/>
                <w:b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b/>
                <w:color w:val="7F7F7F" w:themeColor="text1" w:themeTint="80"/>
                <w:sz w:val="16"/>
                <w:szCs w:val="16"/>
              </w:rPr>
              <w:t>(22 081)</w:t>
            </w:r>
          </w:p>
        </w:tc>
      </w:tr>
      <w:tr w:rsidR="002B7A8F" w:rsidRPr="002B7A8F" w:rsidTr="0006339F">
        <w:trPr>
          <w:trHeight w:val="196"/>
        </w:trPr>
        <w:tc>
          <w:tcPr>
            <w:tcW w:w="2906" w:type="dxa"/>
            <w:vAlign w:val="center"/>
          </w:tcPr>
          <w:p w:rsidR="00FA4347" w:rsidRPr="002B7A8F" w:rsidRDefault="00FA4347" w:rsidP="0006339F">
            <w:pPr>
              <w:spacing w:before="40" w:after="60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Koszty ogólnego zarządu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5"/>
              <w:jc w:val="center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(152 919)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5"/>
              <w:jc w:val="center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(17 690)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5"/>
              <w:jc w:val="center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(4 030)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5"/>
              <w:jc w:val="center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9 783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141"/>
              <w:jc w:val="right"/>
              <w:rPr>
                <w:rFonts w:ascii="Tahoma" w:hAnsi="Tahoma" w:cs="Tahoma"/>
                <w:b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b/>
                <w:color w:val="7F7F7F" w:themeColor="text1" w:themeTint="80"/>
                <w:sz w:val="16"/>
                <w:szCs w:val="16"/>
              </w:rPr>
              <w:t>(164 856)</w:t>
            </w:r>
          </w:p>
        </w:tc>
      </w:tr>
      <w:tr w:rsidR="002B7A8F" w:rsidRPr="002B7A8F" w:rsidTr="0006339F">
        <w:trPr>
          <w:trHeight w:val="196"/>
        </w:trPr>
        <w:tc>
          <w:tcPr>
            <w:tcW w:w="2906" w:type="dxa"/>
            <w:vAlign w:val="center"/>
          </w:tcPr>
          <w:p w:rsidR="00FA4347" w:rsidRPr="002B7A8F" w:rsidRDefault="00FA4347" w:rsidP="0006339F">
            <w:pPr>
              <w:spacing w:before="40" w:after="60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Zysk z działalności operacyjnej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5"/>
              <w:jc w:val="center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202 789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5"/>
              <w:jc w:val="center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57 391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5"/>
              <w:jc w:val="center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50 149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5"/>
              <w:jc w:val="center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1 387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141"/>
              <w:jc w:val="right"/>
              <w:rPr>
                <w:rFonts w:ascii="Tahoma" w:hAnsi="Tahoma" w:cs="Tahoma"/>
                <w:b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b/>
                <w:color w:val="7F7F7F" w:themeColor="text1" w:themeTint="80"/>
                <w:sz w:val="16"/>
                <w:szCs w:val="16"/>
              </w:rPr>
              <w:t>311 716</w:t>
            </w:r>
          </w:p>
        </w:tc>
      </w:tr>
      <w:tr w:rsidR="002B7A8F" w:rsidRPr="002B7A8F" w:rsidTr="0006339F">
        <w:trPr>
          <w:trHeight w:val="159"/>
        </w:trPr>
        <w:tc>
          <w:tcPr>
            <w:tcW w:w="2906" w:type="dxa"/>
            <w:vAlign w:val="center"/>
          </w:tcPr>
          <w:p w:rsidR="00FA4347" w:rsidRPr="002B7A8F" w:rsidRDefault="00FA4347" w:rsidP="0006339F">
            <w:pPr>
              <w:spacing w:before="40" w:after="60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Zysk brutto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314"/>
              <w:jc w:val="right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193 675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314"/>
              <w:jc w:val="right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59 166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314"/>
              <w:jc w:val="right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50 063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5"/>
              <w:jc w:val="center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1 104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141"/>
              <w:jc w:val="right"/>
              <w:rPr>
                <w:rFonts w:ascii="Tahoma" w:hAnsi="Tahoma" w:cs="Tahoma"/>
                <w:b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b/>
                <w:color w:val="7F7F7F" w:themeColor="text1" w:themeTint="80"/>
                <w:sz w:val="16"/>
                <w:szCs w:val="16"/>
              </w:rPr>
              <w:t>304 008</w:t>
            </w:r>
          </w:p>
        </w:tc>
      </w:tr>
      <w:tr w:rsidR="002B7A8F" w:rsidRPr="002B7A8F" w:rsidTr="0006339F">
        <w:trPr>
          <w:trHeight w:val="159"/>
        </w:trPr>
        <w:tc>
          <w:tcPr>
            <w:tcW w:w="2906" w:type="dxa"/>
            <w:vAlign w:val="center"/>
          </w:tcPr>
          <w:p w:rsidR="00FA4347" w:rsidRPr="002B7A8F" w:rsidRDefault="00FA4347" w:rsidP="0006339F">
            <w:pPr>
              <w:spacing w:before="40" w:after="60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Zysk netto 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314"/>
              <w:jc w:val="right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146 127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314"/>
              <w:jc w:val="right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47 845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314"/>
              <w:jc w:val="right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35 954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5"/>
              <w:jc w:val="center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894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141"/>
              <w:jc w:val="right"/>
              <w:rPr>
                <w:rFonts w:ascii="Tahoma" w:hAnsi="Tahoma" w:cs="Tahoma"/>
                <w:b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b/>
                <w:color w:val="7F7F7F" w:themeColor="text1" w:themeTint="80"/>
                <w:sz w:val="16"/>
                <w:szCs w:val="16"/>
              </w:rPr>
              <w:t>230 820</w:t>
            </w:r>
          </w:p>
        </w:tc>
      </w:tr>
      <w:tr w:rsidR="002B7A8F" w:rsidRPr="002B7A8F" w:rsidTr="0006339F">
        <w:trPr>
          <w:trHeight w:val="159"/>
        </w:trPr>
        <w:tc>
          <w:tcPr>
            <w:tcW w:w="2906" w:type="dxa"/>
            <w:vAlign w:val="center"/>
          </w:tcPr>
          <w:p w:rsidR="00FA4347" w:rsidRPr="002B7A8F" w:rsidRDefault="00FA4347" w:rsidP="0006339F">
            <w:pPr>
              <w:spacing w:before="40" w:after="60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Zysk przypadający akcjonariuszom Jednostki Dominującej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314"/>
              <w:jc w:val="right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146 127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314"/>
              <w:jc w:val="right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47 772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314"/>
              <w:jc w:val="right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35 909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5"/>
              <w:jc w:val="center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899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141"/>
              <w:jc w:val="right"/>
              <w:rPr>
                <w:rFonts w:ascii="Tahoma" w:hAnsi="Tahoma" w:cs="Tahoma"/>
                <w:b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b/>
                <w:color w:val="7F7F7F" w:themeColor="text1" w:themeTint="80"/>
                <w:sz w:val="16"/>
                <w:szCs w:val="16"/>
              </w:rPr>
              <w:t>230 707</w:t>
            </w:r>
          </w:p>
        </w:tc>
      </w:tr>
    </w:tbl>
    <w:p w:rsidR="00FA4347" w:rsidRPr="004D61F0" w:rsidRDefault="00FA4347" w:rsidP="00FA4347">
      <w:pPr>
        <w:autoSpaceDE w:val="0"/>
        <w:autoSpaceDN w:val="0"/>
        <w:adjustRightInd w:val="0"/>
        <w:jc w:val="both"/>
        <w:rPr>
          <w:rFonts w:ascii="Tahoma" w:hAnsi="Tahoma" w:cs="Tahoma"/>
          <w:highlight w:val="yellow"/>
          <w:u w:val="single"/>
        </w:rPr>
      </w:pPr>
    </w:p>
    <w:p w:rsidR="00FA4347" w:rsidRPr="005036EC" w:rsidRDefault="00FA4347" w:rsidP="00FA4347">
      <w:pPr>
        <w:autoSpaceDE w:val="0"/>
        <w:autoSpaceDN w:val="0"/>
        <w:adjustRightInd w:val="0"/>
        <w:jc w:val="both"/>
        <w:rPr>
          <w:rFonts w:ascii="Tahoma" w:hAnsi="Tahoma" w:cs="Tahoma"/>
          <w:b/>
          <w:u w:val="single"/>
        </w:rPr>
      </w:pPr>
      <w:r w:rsidRPr="002B7A8F">
        <w:rPr>
          <w:rFonts w:ascii="Tahoma" w:hAnsi="Tahoma" w:cs="Tahoma"/>
          <w:color w:val="FFC000"/>
          <w:u w:val="single"/>
        </w:rPr>
        <w:t xml:space="preserve">Wyniki segmentów sprawozdawczych </w:t>
      </w:r>
      <w:r w:rsidRPr="002B7A8F">
        <w:rPr>
          <w:rFonts w:ascii="Tahoma" w:hAnsi="Tahoma" w:cs="Tahoma"/>
          <w:b/>
          <w:color w:val="FFC000"/>
          <w:u w:val="single"/>
        </w:rPr>
        <w:t xml:space="preserve">za 9 miesięcy 2017 roku </w:t>
      </w:r>
      <w:r w:rsidRPr="002B7A8F">
        <w:rPr>
          <w:rFonts w:ascii="Tahoma" w:hAnsi="Tahoma" w:cs="Tahoma"/>
          <w:color w:val="FFC000"/>
          <w:u w:val="single"/>
        </w:rPr>
        <w:t xml:space="preserve">(w tysiącach złotych): </w:t>
      </w:r>
      <w:r w:rsidRPr="005036EC">
        <w:rPr>
          <w:rFonts w:ascii="Tahoma" w:hAnsi="Tahoma" w:cs="Tahoma"/>
          <w:b/>
          <w:sz w:val="24"/>
          <w:szCs w:val="24"/>
        </w:rPr>
        <w:tab/>
      </w:r>
      <w:r w:rsidRPr="005036EC">
        <w:rPr>
          <w:rFonts w:ascii="Tahoma" w:hAnsi="Tahoma" w:cs="Tahoma"/>
          <w:b/>
          <w:sz w:val="24"/>
          <w:szCs w:val="24"/>
        </w:rPr>
        <w:tab/>
      </w:r>
      <w:r w:rsidRPr="005036EC">
        <w:rPr>
          <w:rFonts w:ascii="Tahoma" w:hAnsi="Tahoma" w:cs="Tahoma"/>
          <w:b/>
          <w:sz w:val="24"/>
          <w:szCs w:val="24"/>
        </w:rPr>
        <w:tab/>
      </w:r>
      <w:r w:rsidRPr="005036EC">
        <w:rPr>
          <w:rFonts w:ascii="Tahoma" w:hAnsi="Tahoma" w:cs="Tahoma"/>
          <w:b/>
          <w:sz w:val="24"/>
          <w:szCs w:val="24"/>
        </w:rPr>
        <w:tab/>
      </w:r>
    </w:p>
    <w:tbl>
      <w:tblPr>
        <w:tblW w:w="906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0"/>
        <w:gridCol w:w="1242"/>
        <w:gridCol w:w="1242"/>
        <w:gridCol w:w="1299"/>
        <w:gridCol w:w="997"/>
        <w:gridCol w:w="1396"/>
      </w:tblGrid>
      <w:tr w:rsidR="002B7A8F" w:rsidRPr="002B7A8F" w:rsidTr="0006339F">
        <w:trPr>
          <w:trHeight w:val="840"/>
        </w:trPr>
        <w:tc>
          <w:tcPr>
            <w:tcW w:w="2890" w:type="dxa"/>
          </w:tcPr>
          <w:p w:rsidR="00FA4347" w:rsidRPr="002B7A8F" w:rsidRDefault="00FA4347" w:rsidP="0006339F">
            <w:pPr>
              <w:ind w:right="180"/>
              <w:rPr>
                <w:rFonts w:ascii="Tahoma" w:eastAsia="Arial Unicode MS" w:hAnsi="Tahoma" w:cs="Tahoma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FA4347" w:rsidRPr="002B7A8F" w:rsidRDefault="00FA4347" w:rsidP="0006339F">
            <w:pPr>
              <w:jc w:val="center"/>
              <w:rPr>
                <w:rFonts w:ascii="Tahoma" w:eastAsia="Arial Unicode MS" w:hAnsi="Tahoma" w:cs="Tahoma"/>
                <w:bCs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Segment budowlany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FA4347" w:rsidRPr="002B7A8F" w:rsidRDefault="00FA4347" w:rsidP="0006339F">
            <w:pPr>
              <w:jc w:val="center"/>
              <w:rPr>
                <w:rFonts w:ascii="Tahoma" w:eastAsia="Arial Unicode MS" w:hAnsi="Tahoma" w:cs="Tahoma"/>
                <w:bCs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Segment deweloperski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FA4347" w:rsidRPr="002B7A8F" w:rsidRDefault="00FA4347" w:rsidP="0006339F">
            <w:pPr>
              <w:jc w:val="center"/>
              <w:rPr>
                <w:rFonts w:ascii="Tahoma" w:eastAsia="Arial Unicode MS" w:hAnsi="Tahoma" w:cs="Tahoma"/>
                <w:bCs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Pozostała działalność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FA4347" w:rsidRPr="002B7A8F" w:rsidRDefault="00FA4347" w:rsidP="0006339F">
            <w:pPr>
              <w:jc w:val="center"/>
              <w:rPr>
                <w:rFonts w:ascii="Tahoma" w:eastAsia="Arial Unicode MS" w:hAnsi="Tahoma" w:cs="Tahoma"/>
                <w:bCs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Wyłączenia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FA4347" w:rsidRPr="002B7A8F" w:rsidRDefault="00FA4347" w:rsidP="0006339F">
            <w:pPr>
              <w:ind w:left="51"/>
              <w:jc w:val="both"/>
              <w:rPr>
                <w:rFonts w:ascii="Tahoma" w:eastAsia="Arial Unicode MS" w:hAnsi="Tahoma" w:cs="Tahoma"/>
                <w:b/>
                <w:bCs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b/>
                <w:bCs/>
                <w:color w:val="7F7F7F" w:themeColor="text1" w:themeTint="80"/>
                <w:sz w:val="16"/>
                <w:szCs w:val="16"/>
              </w:rPr>
              <w:t xml:space="preserve">Dane skonsolidowane </w:t>
            </w:r>
          </w:p>
        </w:tc>
      </w:tr>
      <w:tr w:rsidR="002B7A8F" w:rsidRPr="002B7A8F" w:rsidTr="0006339F">
        <w:trPr>
          <w:trHeight w:val="57"/>
        </w:trPr>
        <w:tc>
          <w:tcPr>
            <w:tcW w:w="2890" w:type="dxa"/>
            <w:vAlign w:val="center"/>
          </w:tcPr>
          <w:p w:rsidR="00FA4347" w:rsidRPr="002B7A8F" w:rsidRDefault="00FA4347" w:rsidP="0006339F">
            <w:pPr>
              <w:spacing w:before="40" w:after="60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Przychody netto ze sprzedaży  produktów, towarów i materiałów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314"/>
              <w:jc w:val="right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4 314 025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314"/>
              <w:jc w:val="right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388 044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314"/>
              <w:jc w:val="right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115 733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5"/>
              <w:jc w:val="center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(264 443)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138"/>
              <w:jc w:val="right"/>
              <w:rPr>
                <w:rFonts w:ascii="Tahoma" w:hAnsi="Tahoma" w:cs="Tahoma"/>
                <w:b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b/>
                <w:color w:val="7F7F7F" w:themeColor="text1" w:themeTint="80"/>
                <w:sz w:val="16"/>
                <w:szCs w:val="16"/>
              </w:rPr>
              <w:t>4 553 359</w:t>
            </w:r>
          </w:p>
        </w:tc>
      </w:tr>
      <w:tr w:rsidR="002B7A8F" w:rsidRPr="002B7A8F" w:rsidTr="0006339F">
        <w:trPr>
          <w:trHeight w:val="196"/>
        </w:trPr>
        <w:tc>
          <w:tcPr>
            <w:tcW w:w="2890" w:type="dxa"/>
            <w:vAlign w:val="center"/>
          </w:tcPr>
          <w:p w:rsidR="00FA4347" w:rsidRPr="002B7A8F" w:rsidRDefault="00FA4347" w:rsidP="0006339F">
            <w:pPr>
              <w:spacing w:before="40" w:after="60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Zysk brutto ze sprzedaży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314"/>
              <w:jc w:val="right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489 181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314"/>
              <w:jc w:val="right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79 957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314"/>
              <w:jc w:val="right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14 253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5"/>
              <w:jc w:val="center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(1 528)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141"/>
              <w:jc w:val="right"/>
              <w:rPr>
                <w:rFonts w:ascii="Tahoma" w:hAnsi="Tahoma" w:cs="Tahoma"/>
                <w:b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b/>
                <w:color w:val="7F7F7F" w:themeColor="text1" w:themeTint="80"/>
                <w:sz w:val="16"/>
                <w:szCs w:val="16"/>
              </w:rPr>
              <w:t>581 863</w:t>
            </w:r>
          </w:p>
        </w:tc>
      </w:tr>
      <w:tr w:rsidR="002B7A8F" w:rsidRPr="002B7A8F" w:rsidTr="0006339F">
        <w:trPr>
          <w:trHeight w:val="196"/>
        </w:trPr>
        <w:tc>
          <w:tcPr>
            <w:tcW w:w="2890" w:type="dxa"/>
            <w:vAlign w:val="center"/>
          </w:tcPr>
          <w:p w:rsidR="00FA4347" w:rsidRPr="002B7A8F" w:rsidRDefault="00FA4347" w:rsidP="0006339F">
            <w:pPr>
              <w:spacing w:before="40" w:after="60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Koszty sprzedaży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314"/>
              <w:jc w:val="right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(7 495)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314"/>
              <w:jc w:val="right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(13 186)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314"/>
              <w:jc w:val="right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(3 850)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5"/>
              <w:jc w:val="center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15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141"/>
              <w:jc w:val="right"/>
              <w:rPr>
                <w:rFonts w:ascii="Tahoma" w:hAnsi="Tahoma" w:cs="Tahoma"/>
                <w:b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b/>
                <w:color w:val="7F7F7F" w:themeColor="text1" w:themeTint="80"/>
                <w:sz w:val="16"/>
                <w:szCs w:val="16"/>
              </w:rPr>
              <w:t>(24 516)</w:t>
            </w:r>
          </w:p>
        </w:tc>
      </w:tr>
      <w:tr w:rsidR="002B7A8F" w:rsidRPr="002B7A8F" w:rsidTr="0006339F">
        <w:trPr>
          <w:trHeight w:val="196"/>
        </w:trPr>
        <w:tc>
          <w:tcPr>
            <w:tcW w:w="2890" w:type="dxa"/>
            <w:vAlign w:val="center"/>
          </w:tcPr>
          <w:p w:rsidR="00FA4347" w:rsidRPr="002B7A8F" w:rsidRDefault="00FA4347" w:rsidP="0006339F">
            <w:pPr>
              <w:spacing w:before="40" w:after="60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Koszty ogólnego zarządu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314"/>
              <w:jc w:val="right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(142 574)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314"/>
              <w:jc w:val="right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(16 079)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314"/>
              <w:jc w:val="right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(4 096)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5"/>
              <w:jc w:val="center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9 261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141"/>
              <w:jc w:val="right"/>
              <w:rPr>
                <w:rFonts w:ascii="Tahoma" w:hAnsi="Tahoma" w:cs="Tahoma"/>
                <w:b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b/>
                <w:color w:val="7F7F7F" w:themeColor="text1" w:themeTint="80"/>
                <w:sz w:val="16"/>
                <w:szCs w:val="16"/>
              </w:rPr>
              <w:t>(153 488)</w:t>
            </w:r>
          </w:p>
        </w:tc>
      </w:tr>
      <w:tr w:rsidR="002B7A8F" w:rsidRPr="002B7A8F" w:rsidTr="0006339F">
        <w:trPr>
          <w:trHeight w:val="196"/>
        </w:trPr>
        <w:tc>
          <w:tcPr>
            <w:tcW w:w="2890" w:type="dxa"/>
            <w:vAlign w:val="center"/>
          </w:tcPr>
          <w:p w:rsidR="00FA4347" w:rsidRPr="002B7A8F" w:rsidRDefault="00FA4347" w:rsidP="0006339F">
            <w:pPr>
              <w:spacing w:before="40" w:after="60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Zysk z działalności operacyjnej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314"/>
              <w:jc w:val="right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358 188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314"/>
              <w:jc w:val="right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56 548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314"/>
              <w:jc w:val="right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6 852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5"/>
              <w:jc w:val="center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4 704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141"/>
              <w:jc w:val="right"/>
              <w:rPr>
                <w:rFonts w:ascii="Tahoma" w:hAnsi="Tahoma" w:cs="Tahoma"/>
                <w:b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b/>
                <w:color w:val="7F7F7F" w:themeColor="text1" w:themeTint="80"/>
                <w:sz w:val="16"/>
                <w:szCs w:val="16"/>
              </w:rPr>
              <w:t>426 292</w:t>
            </w:r>
          </w:p>
        </w:tc>
      </w:tr>
      <w:tr w:rsidR="002B7A8F" w:rsidRPr="002B7A8F" w:rsidTr="0006339F">
        <w:trPr>
          <w:trHeight w:val="159"/>
        </w:trPr>
        <w:tc>
          <w:tcPr>
            <w:tcW w:w="2890" w:type="dxa"/>
            <w:vAlign w:val="center"/>
          </w:tcPr>
          <w:p w:rsidR="00FA4347" w:rsidRPr="002B7A8F" w:rsidRDefault="00FA4347" w:rsidP="0006339F">
            <w:pPr>
              <w:spacing w:before="40" w:after="60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Zysk brutto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314"/>
              <w:jc w:val="right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352 348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314"/>
              <w:jc w:val="right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58 622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314"/>
              <w:jc w:val="right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4 929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5"/>
              <w:jc w:val="center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4 604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141"/>
              <w:jc w:val="right"/>
              <w:rPr>
                <w:rFonts w:ascii="Tahoma" w:hAnsi="Tahoma" w:cs="Tahoma"/>
                <w:b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b/>
                <w:color w:val="7F7F7F" w:themeColor="text1" w:themeTint="80"/>
                <w:sz w:val="16"/>
                <w:szCs w:val="16"/>
              </w:rPr>
              <w:t>420 503</w:t>
            </w:r>
          </w:p>
        </w:tc>
      </w:tr>
      <w:tr w:rsidR="002B7A8F" w:rsidRPr="002B7A8F" w:rsidTr="0006339F">
        <w:trPr>
          <w:trHeight w:val="159"/>
        </w:trPr>
        <w:tc>
          <w:tcPr>
            <w:tcW w:w="2890" w:type="dxa"/>
            <w:vAlign w:val="center"/>
          </w:tcPr>
          <w:p w:rsidR="00FA4347" w:rsidRPr="002B7A8F" w:rsidRDefault="00FA4347" w:rsidP="0006339F">
            <w:pPr>
              <w:spacing w:before="40" w:after="60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Zysk netto 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314"/>
              <w:jc w:val="right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282 652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314"/>
              <w:jc w:val="right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47 616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314"/>
              <w:jc w:val="right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3 209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5"/>
              <w:jc w:val="center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3 733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141"/>
              <w:jc w:val="right"/>
              <w:rPr>
                <w:rFonts w:ascii="Tahoma" w:hAnsi="Tahoma" w:cs="Tahoma"/>
                <w:b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b/>
                <w:color w:val="7F7F7F" w:themeColor="text1" w:themeTint="80"/>
                <w:sz w:val="16"/>
                <w:szCs w:val="16"/>
              </w:rPr>
              <w:t>337 210</w:t>
            </w:r>
          </w:p>
        </w:tc>
      </w:tr>
      <w:tr w:rsidR="002B7A8F" w:rsidRPr="002B7A8F" w:rsidTr="0006339F">
        <w:trPr>
          <w:trHeight w:val="159"/>
        </w:trPr>
        <w:tc>
          <w:tcPr>
            <w:tcW w:w="2890" w:type="dxa"/>
            <w:vAlign w:val="center"/>
          </w:tcPr>
          <w:p w:rsidR="00FA4347" w:rsidRPr="002B7A8F" w:rsidRDefault="00FA4347" w:rsidP="0006339F">
            <w:pPr>
              <w:spacing w:before="40" w:after="60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Zysk przypadający akcjonariuszom Jednostki Dominującej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314"/>
              <w:jc w:val="right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282 652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314"/>
              <w:jc w:val="right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47 555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314"/>
              <w:jc w:val="right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3 048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5"/>
              <w:jc w:val="center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3 784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7" w:rsidRPr="002B7A8F" w:rsidRDefault="00FA4347" w:rsidP="0006339F">
            <w:pPr>
              <w:spacing w:before="40" w:after="60"/>
              <w:ind w:right="141"/>
              <w:jc w:val="right"/>
              <w:rPr>
                <w:rFonts w:ascii="Tahoma" w:hAnsi="Tahoma" w:cs="Tahoma"/>
                <w:b/>
                <w:color w:val="7F7F7F" w:themeColor="text1" w:themeTint="80"/>
                <w:sz w:val="16"/>
                <w:szCs w:val="16"/>
              </w:rPr>
            </w:pPr>
            <w:r w:rsidRPr="002B7A8F">
              <w:rPr>
                <w:rFonts w:ascii="Tahoma" w:hAnsi="Tahoma" w:cs="Tahoma"/>
                <w:b/>
                <w:color w:val="7F7F7F" w:themeColor="text1" w:themeTint="80"/>
                <w:sz w:val="16"/>
                <w:szCs w:val="16"/>
              </w:rPr>
              <w:t>337 039</w:t>
            </w:r>
          </w:p>
        </w:tc>
      </w:tr>
    </w:tbl>
    <w:p w:rsidR="00FA4347" w:rsidRPr="002B7A8F" w:rsidRDefault="00FA4347" w:rsidP="00FA4347">
      <w:pPr>
        <w:spacing w:after="120" w:line="240" w:lineRule="auto"/>
        <w:jc w:val="both"/>
        <w:rPr>
          <w:rFonts w:ascii="Tahoma" w:hAnsi="Tahoma" w:cs="Tahoma"/>
          <w:b/>
          <w:color w:val="7F7F7F" w:themeColor="text1" w:themeTint="80"/>
          <w:highlight w:val="yellow"/>
          <w:lang w:val="en-US"/>
        </w:rPr>
      </w:pPr>
    </w:p>
    <w:p w:rsidR="00FA4347" w:rsidRPr="002B7A8F" w:rsidRDefault="00FA4347" w:rsidP="00FA4347">
      <w:pPr>
        <w:spacing w:after="120" w:line="240" w:lineRule="auto"/>
        <w:jc w:val="both"/>
        <w:rPr>
          <w:rFonts w:ascii="Tahoma" w:hAnsi="Tahoma" w:cs="Tahoma"/>
          <w:color w:val="7F7F7F" w:themeColor="text1" w:themeTint="80"/>
          <w:sz w:val="16"/>
          <w:szCs w:val="16"/>
        </w:rPr>
      </w:pPr>
    </w:p>
    <w:p w:rsidR="00FA4347" w:rsidRPr="002B7A8F" w:rsidRDefault="00FA4347" w:rsidP="00FA4347">
      <w:pPr>
        <w:spacing w:after="120" w:line="240" w:lineRule="auto"/>
        <w:jc w:val="both"/>
        <w:rPr>
          <w:rFonts w:ascii="Tahoma" w:hAnsi="Tahoma" w:cs="Tahoma"/>
          <w:color w:val="7F7F7F" w:themeColor="text1" w:themeTint="80"/>
          <w:sz w:val="16"/>
          <w:szCs w:val="16"/>
        </w:rPr>
      </w:pPr>
      <w:r w:rsidRPr="002B7A8F">
        <w:rPr>
          <w:rFonts w:ascii="Tahoma" w:hAnsi="Tahoma" w:cs="Tahoma"/>
          <w:color w:val="7F7F7F" w:themeColor="text1" w:themeTint="80"/>
          <w:sz w:val="16"/>
          <w:szCs w:val="16"/>
        </w:rPr>
        <w:t>Kontakt: Michał Wrzosek, rzecznik prasowy</w:t>
      </w:r>
    </w:p>
    <w:p w:rsidR="00FA4347" w:rsidRPr="002B7A8F" w:rsidRDefault="00FA4347" w:rsidP="00FA4347">
      <w:pPr>
        <w:spacing w:after="0" w:line="240" w:lineRule="auto"/>
        <w:jc w:val="both"/>
        <w:rPr>
          <w:rFonts w:ascii="Tahoma" w:hAnsi="Tahoma" w:cs="Tahoma"/>
          <w:color w:val="7F7F7F" w:themeColor="text1" w:themeTint="80"/>
          <w:sz w:val="16"/>
          <w:szCs w:val="16"/>
          <w:lang w:val="en-US"/>
        </w:rPr>
      </w:pPr>
      <w:r w:rsidRPr="002B7A8F">
        <w:rPr>
          <w:rFonts w:ascii="Tahoma" w:hAnsi="Tahoma" w:cs="Tahoma"/>
          <w:color w:val="7F7F7F" w:themeColor="text1" w:themeTint="80"/>
          <w:sz w:val="16"/>
          <w:szCs w:val="16"/>
          <w:lang w:val="en-US"/>
        </w:rPr>
        <w:t>tel. (22) 62 36 164, fax: (22) 62 36 014, kom. +48 512 478 522, email: michal.wrzosek@budimex.pl</w:t>
      </w:r>
    </w:p>
    <w:p w:rsidR="00B12A18" w:rsidRPr="00FA4347" w:rsidRDefault="00B12A18" w:rsidP="00B12A18">
      <w:pPr>
        <w:spacing w:line="360" w:lineRule="auto"/>
        <w:jc w:val="both"/>
        <w:rPr>
          <w:rFonts w:ascii="Tahoma" w:hAnsi="Tahoma" w:cs="Tahoma"/>
          <w:b/>
          <w:lang w:val="en-US"/>
        </w:rPr>
      </w:pPr>
    </w:p>
    <w:sectPr w:rsidR="00B12A18" w:rsidRPr="00FA4347" w:rsidSect="00DA2DBF">
      <w:headerReference w:type="default" r:id="rId9"/>
      <w:footerReference w:type="default" r:id="rId10"/>
      <w:pgSz w:w="11906" w:h="16838"/>
      <w:pgMar w:top="1702" w:right="1304" w:bottom="993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1D8" w:rsidRDefault="005841D8">
      <w:pPr>
        <w:spacing w:after="0" w:line="240" w:lineRule="auto"/>
      </w:pPr>
      <w:r>
        <w:separator/>
      </w:r>
    </w:p>
  </w:endnote>
  <w:endnote w:type="continuationSeparator" w:id="0">
    <w:p w:rsidR="005841D8" w:rsidRDefault="0058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852918"/>
      <w:docPartObj>
        <w:docPartGallery w:val="Page Numbers (Bottom of Page)"/>
        <w:docPartUnique/>
      </w:docPartObj>
    </w:sdtPr>
    <w:sdtEndPr/>
    <w:sdtContent>
      <w:p w:rsidR="00443E75" w:rsidRDefault="00443E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741">
          <w:rPr>
            <w:noProof/>
          </w:rPr>
          <w:t>3</w:t>
        </w:r>
        <w:r>
          <w:fldChar w:fldCharType="end"/>
        </w:r>
      </w:p>
    </w:sdtContent>
  </w:sdt>
  <w:p w:rsidR="00443E75" w:rsidRPr="00812704" w:rsidRDefault="00443E75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1D8" w:rsidRDefault="005841D8">
      <w:pPr>
        <w:spacing w:after="0" w:line="240" w:lineRule="auto"/>
      </w:pPr>
      <w:r>
        <w:separator/>
      </w:r>
    </w:p>
  </w:footnote>
  <w:footnote w:type="continuationSeparator" w:id="0">
    <w:p w:rsidR="005841D8" w:rsidRDefault="00584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75" w:rsidRPr="00BE1469" w:rsidRDefault="00443E75">
    <w:pPr>
      <w:pStyle w:val="Nagwek"/>
      <w:rPr>
        <w:rFonts w:ascii="Tahoma" w:hAnsi="Tahoma" w:cs="Tahoma"/>
        <w:b/>
        <w:color w:val="808080"/>
        <w:sz w:val="28"/>
        <w:szCs w:val="28"/>
      </w:rPr>
    </w:pPr>
    <w:r>
      <w:rPr>
        <w:noProof/>
      </w:rPr>
      <w:drawing>
        <wp:inline distT="0" distB="0" distL="0" distR="0" wp14:anchorId="2B976257" wp14:editId="69A45FEC">
          <wp:extent cx="1714500" cy="495300"/>
          <wp:effectExtent l="0" t="0" r="0" b="0"/>
          <wp:docPr id="1" name="Obraz 1" descr="Opis: budimex_PRINC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budimex_PRINC_po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BE1469">
      <w:rPr>
        <w:color w:val="808080"/>
      </w:rPr>
      <w:t xml:space="preserve">                                              </w:t>
    </w:r>
    <w:r w:rsidRPr="00BE1469">
      <w:rPr>
        <w:rFonts w:ascii="Tahoma" w:hAnsi="Tahoma" w:cs="Tahoma"/>
        <w:b/>
        <w:color w:val="808080"/>
        <w:sz w:val="28"/>
        <w:szCs w:val="28"/>
      </w:rPr>
      <w:t>INFORMACJA PRASOWA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17023"/>
    <w:multiLevelType w:val="hybridMultilevel"/>
    <w:tmpl w:val="724AE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6D"/>
    <w:rsid w:val="00000ADD"/>
    <w:rsid w:val="00002445"/>
    <w:rsid w:val="00002D8D"/>
    <w:rsid w:val="00005B00"/>
    <w:rsid w:val="00006DAD"/>
    <w:rsid w:val="00006F16"/>
    <w:rsid w:val="00007CED"/>
    <w:rsid w:val="00012BD3"/>
    <w:rsid w:val="00013DDC"/>
    <w:rsid w:val="000143E1"/>
    <w:rsid w:val="00015571"/>
    <w:rsid w:val="00015D17"/>
    <w:rsid w:val="00015E18"/>
    <w:rsid w:val="0001686D"/>
    <w:rsid w:val="0002472B"/>
    <w:rsid w:val="0002512E"/>
    <w:rsid w:val="00027A0D"/>
    <w:rsid w:val="00031B45"/>
    <w:rsid w:val="00035187"/>
    <w:rsid w:val="00035E44"/>
    <w:rsid w:val="00043FAD"/>
    <w:rsid w:val="00046A59"/>
    <w:rsid w:val="0005186F"/>
    <w:rsid w:val="000536CC"/>
    <w:rsid w:val="000544AB"/>
    <w:rsid w:val="0005636C"/>
    <w:rsid w:val="000611CA"/>
    <w:rsid w:val="00066CBA"/>
    <w:rsid w:val="00070F13"/>
    <w:rsid w:val="0007273E"/>
    <w:rsid w:val="000750B2"/>
    <w:rsid w:val="00083BF1"/>
    <w:rsid w:val="00086502"/>
    <w:rsid w:val="0009546B"/>
    <w:rsid w:val="0009760A"/>
    <w:rsid w:val="000A393E"/>
    <w:rsid w:val="000A50D8"/>
    <w:rsid w:val="000A6A68"/>
    <w:rsid w:val="000A79F5"/>
    <w:rsid w:val="000B0499"/>
    <w:rsid w:val="000C1D7C"/>
    <w:rsid w:val="000C492C"/>
    <w:rsid w:val="000C5F20"/>
    <w:rsid w:val="000C73E9"/>
    <w:rsid w:val="000D186E"/>
    <w:rsid w:val="000D608F"/>
    <w:rsid w:val="000D7B55"/>
    <w:rsid w:val="000E07D2"/>
    <w:rsid w:val="000E11F1"/>
    <w:rsid w:val="000E1CB9"/>
    <w:rsid w:val="000E376D"/>
    <w:rsid w:val="000E77C2"/>
    <w:rsid w:val="000F1C3A"/>
    <w:rsid w:val="000F3BF6"/>
    <w:rsid w:val="000F40FA"/>
    <w:rsid w:val="000F6389"/>
    <w:rsid w:val="000F7013"/>
    <w:rsid w:val="00102994"/>
    <w:rsid w:val="00103B50"/>
    <w:rsid w:val="001046F9"/>
    <w:rsid w:val="00106EE5"/>
    <w:rsid w:val="00106FBD"/>
    <w:rsid w:val="0011139D"/>
    <w:rsid w:val="001146D1"/>
    <w:rsid w:val="001146F9"/>
    <w:rsid w:val="001158F2"/>
    <w:rsid w:val="00117D8D"/>
    <w:rsid w:val="00120F83"/>
    <w:rsid w:val="001212FE"/>
    <w:rsid w:val="00123AF4"/>
    <w:rsid w:val="001263A7"/>
    <w:rsid w:val="00126412"/>
    <w:rsid w:val="0012672F"/>
    <w:rsid w:val="00130287"/>
    <w:rsid w:val="001309E7"/>
    <w:rsid w:val="00131185"/>
    <w:rsid w:val="00132808"/>
    <w:rsid w:val="001365F7"/>
    <w:rsid w:val="0014150D"/>
    <w:rsid w:val="00143B9B"/>
    <w:rsid w:val="001446B7"/>
    <w:rsid w:val="00151EF0"/>
    <w:rsid w:val="001550D9"/>
    <w:rsid w:val="0016357F"/>
    <w:rsid w:val="001701E4"/>
    <w:rsid w:val="00171025"/>
    <w:rsid w:val="00171462"/>
    <w:rsid w:val="00171CFD"/>
    <w:rsid w:val="00172E2A"/>
    <w:rsid w:val="00175351"/>
    <w:rsid w:val="00175884"/>
    <w:rsid w:val="001769D2"/>
    <w:rsid w:val="00180E54"/>
    <w:rsid w:val="0018339B"/>
    <w:rsid w:val="00184A9C"/>
    <w:rsid w:val="001866B8"/>
    <w:rsid w:val="001873A7"/>
    <w:rsid w:val="00187FF6"/>
    <w:rsid w:val="00196274"/>
    <w:rsid w:val="00196CAA"/>
    <w:rsid w:val="00197E8F"/>
    <w:rsid w:val="001A1B8E"/>
    <w:rsid w:val="001A1E40"/>
    <w:rsid w:val="001A5A1E"/>
    <w:rsid w:val="001B2EDD"/>
    <w:rsid w:val="001C2AAD"/>
    <w:rsid w:val="001C30C8"/>
    <w:rsid w:val="001D31AC"/>
    <w:rsid w:val="001D6505"/>
    <w:rsid w:val="001E031D"/>
    <w:rsid w:val="001E3DA9"/>
    <w:rsid w:val="001E652D"/>
    <w:rsid w:val="001E7B6A"/>
    <w:rsid w:val="00201C91"/>
    <w:rsid w:val="00202BB1"/>
    <w:rsid w:val="002069D0"/>
    <w:rsid w:val="0021394F"/>
    <w:rsid w:val="00217295"/>
    <w:rsid w:val="002209DF"/>
    <w:rsid w:val="002239DC"/>
    <w:rsid w:val="00223DD5"/>
    <w:rsid w:val="00226A09"/>
    <w:rsid w:val="002271BF"/>
    <w:rsid w:val="00227D05"/>
    <w:rsid w:val="00230259"/>
    <w:rsid w:val="00230F45"/>
    <w:rsid w:val="00232F32"/>
    <w:rsid w:val="00236F88"/>
    <w:rsid w:val="00237D9D"/>
    <w:rsid w:val="00240F97"/>
    <w:rsid w:val="002418A0"/>
    <w:rsid w:val="00255AD1"/>
    <w:rsid w:val="00260221"/>
    <w:rsid w:val="00261350"/>
    <w:rsid w:val="002618A9"/>
    <w:rsid w:val="00266D7C"/>
    <w:rsid w:val="00266DA1"/>
    <w:rsid w:val="00270C40"/>
    <w:rsid w:val="00271673"/>
    <w:rsid w:val="0027327E"/>
    <w:rsid w:val="00274011"/>
    <w:rsid w:val="0027459B"/>
    <w:rsid w:val="00285E8D"/>
    <w:rsid w:val="00292F3C"/>
    <w:rsid w:val="0029439B"/>
    <w:rsid w:val="002A46CA"/>
    <w:rsid w:val="002B0751"/>
    <w:rsid w:val="002B273E"/>
    <w:rsid w:val="002B604F"/>
    <w:rsid w:val="002B6328"/>
    <w:rsid w:val="002B65CF"/>
    <w:rsid w:val="002B6DE2"/>
    <w:rsid w:val="002B7A8F"/>
    <w:rsid w:val="002C0BAE"/>
    <w:rsid w:val="002C7EA0"/>
    <w:rsid w:val="002D2D9E"/>
    <w:rsid w:val="002D41C8"/>
    <w:rsid w:val="002D7B56"/>
    <w:rsid w:val="002F1239"/>
    <w:rsid w:val="002F320E"/>
    <w:rsid w:val="002F3446"/>
    <w:rsid w:val="002F39F8"/>
    <w:rsid w:val="002F66D3"/>
    <w:rsid w:val="002F7553"/>
    <w:rsid w:val="003013FE"/>
    <w:rsid w:val="003125A0"/>
    <w:rsid w:val="0031262B"/>
    <w:rsid w:val="00320E63"/>
    <w:rsid w:val="00320F7D"/>
    <w:rsid w:val="0032728F"/>
    <w:rsid w:val="00334374"/>
    <w:rsid w:val="003417DB"/>
    <w:rsid w:val="00343849"/>
    <w:rsid w:val="00345D46"/>
    <w:rsid w:val="00350DFB"/>
    <w:rsid w:val="0035393A"/>
    <w:rsid w:val="003549F5"/>
    <w:rsid w:val="00355B1A"/>
    <w:rsid w:val="003625B3"/>
    <w:rsid w:val="00373741"/>
    <w:rsid w:val="00387E4F"/>
    <w:rsid w:val="00390E52"/>
    <w:rsid w:val="003911DC"/>
    <w:rsid w:val="00391561"/>
    <w:rsid w:val="00391573"/>
    <w:rsid w:val="003917A7"/>
    <w:rsid w:val="003921DB"/>
    <w:rsid w:val="003A3BFA"/>
    <w:rsid w:val="003A3ED2"/>
    <w:rsid w:val="003A5CC0"/>
    <w:rsid w:val="003A6D66"/>
    <w:rsid w:val="003A7AD8"/>
    <w:rsid w:val="003B3BB5"/>
    <w:rsid w:val="003B666E"/>
    <w:rsid w:val="003B7263"/>
    <w:rsid w:val="003C0E35"/>
    <w:rsid w:val="003C546E"/>
    <w:rsid w:val="003C743F"/>
    <w:rsid w:val="003C7745"/>
    <w:rsid w:val="003C7DAE"/>
    <w:rsid w:val="003C7FEB"/>
    <w:rsid w:val="003D053E"/>
    <w:rsid w:val="003D3A09"/>
    <w:rsid w:val="003D46CA"/>
    <w:rsid w:val="003D6766"/>
    <w:rsid w:val="003E1404"/>
    <w:rsid w:val="003E20ED"/>
    <w:rsid w:val="003E70EB"/>
    <w:rsid w:val="003F12A9"/>
    <w:rsid w:val="003F4E6A"/>
    <w:rsid w:val="003F6E8A"/>
    <w:rsid w:val="00401364"/>
    <w:rsid w:val="0040156F"/>
    <w:rsid w:val="00402CA9"/>
    <w:rsid w:val="00404D4D"/>
    <w:rsid w:val="00405284"/>
    <w:rsid w:val="00414552"/>
    <w:rsid w:val="00415B37"/>
    <w:rsid w:val="00417B2A"/>
    <w:rsid w:val="00422DF4"/>
    <w:rsid w:val="0042402D"/>
    <w:rsid w:val="00426056"/>
    <w:rsid w:val="004274CF"/>
    <w:rsid w:val="00427E4C"/>
    <w:rsid w:val="00427F41"/>
    <w:rsid w:val="0043101D"/>
    <w:rsid w:val="00432029"/>
    <w:rsid w:val="004341FE"/>
    <w:rsid w:val="00435CEF"/>
    <w:rsid w:val="004376CD"/>
    <w:rsid w:val="00437DCD"/>
    <w:rsid w:val="00443E75"/>
    <w:rsid w:val="00443ED3"/>
    <w:rsid w:val="00450576"/>
    <w:rsid w:val="0045542F"/>
    <w:rsid w:val="00464C4B"/>
    <w:rsid w:val="00465A5B"/>
    <w:rsid w:val="00467234"/>
    <w:rsid w:val="0047065A"/>
    <w:rsid w:val="004733BF"/>
    <w:rsid w:val="00473904"/>
    <w:rsid w:val="00484BEB"/>
    <w:rsid w:val="00494154"/>
    <w:rsid w:val="0049789C"/>
    <w:rsid w:val="004A28DE"/>
    <w:rsid w:val="004B1AC3"/>
    <w:rsid w:val="004B43E2"/>
    <w:rsid w:val="004B49E9"/>
    <w:rsid w:val="004B71B6"/>
    <w:rsid w:val="004B79EF"/>
    <w:rsid w:val="004D57DA"/>
    <w:rsid w:val="004D61F0"/>
    <w:rsid w:val="004D7A08"/>
    <w:rsid w:val="004E19C7"/>
    <w:rsid w:val="004E4D86"/>
    <w:rsid w:val="004E4EFC"/>
    <w:rsid w:val="004E53A7"/>
    <w:rsid w:val="004E6ABA"/>
    <w:rsid w:val="004E7128"/>
    <w:rsid w:val="004F0D34"/>
    <w:rsid w:val="004F5E83"/>
    <w:rsid w:val="004F6359"/>
    <w:rsid w:val="004F716D"/>
    <w:rsid w:val="00503F0A"/>
    <w:rsid w:val="00511D05"/>
    <w:rsid w:val="0051496D"/>
    <w:rsid w:val="005164C7"/>
    <w:rsid w:val="005239F5"/>
    <w:rsid w:val="00526E50"/>
    <w:rsid w:val="0052788E"/>
    <w:rsid w:val="00535F68"/>
    <w:rsid w:val="0053642A"/>
    <w:rsid w:val="005378B7"/>
    <w:rsid w:val="00543A5F"/>
    <w:rsid w:val="005445B0"/>
    <w:rsid w:val="00545373"/>
    <w:rsid w:val="00550487"/>
    <w:rsid w:val="005523FB"/>
    <w:rsid w:val="00552A77"/>
    <w:rsid w:val="005552E8"/>
    <w:rsid w:val="0055549A"/>
    <w:rsid w:val="00561403"/>
    <w:rsid w:val="00563764"/>
    <w:rsid w:val="0056395E"/>
    <w:rsid w:val="0057085C"/>
    <w:rsid w:val="00571082"/>
    <w:rsid w:val="005769DE"/>
    <w:rsid w:val="00581EC0"/>
    <w:rsid w:val="005841D8"/>
    <w:rsid w:val="00586155"/>
    <w:rsid w:val="00590C93"/>
    <w:rsid w:val="00591A89"/>
    <w:rsid w:val="005A267F"/>
    <w:rsid w:val="005A48B8"/>
    <w:rsid w:val="005A67D6"/>
    <w:rsid w:val="005A68B3"/>
    <w:rsid w:val="005B1F9D"/>
    <w:rsid w:val="005B40D7"/>
    <w:rsid w:val="005B56BA"/>
    <w:rsid w:val="005C21BF"/>
    <w:rsid w:val="005C3AC2"/>
    <w:rsid w:val="005C4971"/>
    <w:rsid w:val="005C4C1C"/>
    <w:rsid w:val="005C5517"/>
    <w:rsid w:val="005D184D"/>
    <w:rsid w:val="005D594B"/>
    <w:rsid w:val="005D6C3A"/>
    <w:rsid w:val="005E06E8"/>
    <w:rsid w:val="005E0B46"/>
    <w:rsid w:val="005E213B"/>
    <w:rsid w:val="005E4820"/>
    <w:rsid w:val="005E5757"/>
    <w:rsid w:val="005F04D5"/>
    <w:rsid w:val="005F50A3"/>
    <w:rsid w:val="005F7C96"/>
    <w:rsid w:val="00601A95"/>
    <w:rsid w:val="0060225D"/>
    <w:rsid w:val="006038DA"/>
    <w:rsid w:val="006068B3"/>
    <w:rsid w:val="006125A0"/>
    <w:rsid w:val="00615211"/>
    <w:rsid w:val="006278A7"/>
    <w:rsid w:val="0063676F"/>
    <w:rsid w:val="006379E1"/>
    <w:rsid w:val="00645098"/>
    <w:rsid w:val="006455B1"/>
    <w:rsid w:val="0064767A"/>
    <w:rsid w:val="00650D89"/>
    <w:rsid w:val="006616DF"/>
    <w:rsid w:val="00662014"/>
    <w:rsid w:val="00663074"/>
    <w:rsid w:val="00666B10"/>
    <w:rsid w:val="00666E9D"/>
    <w:rsid w:val="006716FA"/>
    <w:rsid w:val="006731FF"/>
    <w:rsid w:val="00674597"/>
    <w:rsid w:val="00675565"/>
    <w:rsid w:val="00676DDD"/>
    <w:rsid w:val="006871B5"/>
    <w:rsid w:val="00687AB8"/>
    <w:rsid w:val="006A0669"/>
    <w:rsid w:val="006A0B22"/>
    <w:rsid w:val="006A5A7F"/>
    <w:rsid w:val="006A68D6"/>
    <w:rsid w:val="006B1F67"/>
    <w:rsid w:val="006B2051"/>
    <w:rsid w:val="006C2A03"/>
    <w:rsid w:val="006C5BA9"/>
    <w:rsid w:val="006C625E"/>
    <w:rsid w:val="006D49A6"/>
    <w:rsid w:val="006D6968"/>
    <w:rsid w:val="006E1B69"/>
    <w:rsid w:val="006E2D42"/>
    <w:rsid w:val="006E7BB7"/>
    <w:rsid w:val="006F321E"/>
    <w:rsid w:val="006F3909"/>
    <w:rsid w:val="007055FD"/>
    <w:rsid w:val="007069E7"/>
    <w:rsid w:val="00712073"/>
    <w:rsid w:val="00716F73"/>
    <w:rsid w:val="007227C2"/>
    <w:rsid w:val="007243DF"/>
    <w:rsid w:val="00725742"/>
    <w:rsid w:val="00725AA5"/>
    <w:rsid w:val="007272D9"/>
    <w:rsid w:val="007305AF"/>
    <w:rsid w:val="007318AE"/>
    <w:rsid w:val="00732FD4"/>
    <w:rsid w:val="00733601"/>
    <w:rsid w:val="00735186"/>
    <w:rsid w:val="00737AC9"/>
    <w:rsid w:val="00737B0D"/>
    <w:rsid w:val="007410AD"/>
    <w:rsid w:val="00741DA4"/>
    <w:rsid w:val="00743B88"/>
    <w:rsid w:val="0074769E"/>
    <w:rsid w:val="00747AC9"/>
    <w:rsid w:val="007535DE"/>
    <w:rsid w:val="00761ABC"/>
    <w:rsid w:val="00762FD6"/>
    <w:rsid w:val="00764F27"/>
    <w:rsid w:val="00765CC0"/>
    <w:rsid w:val="007676C8"/>
    <w:rsid w:val="007707AB"/>
    <w:rsid w:val="00771A10"/>
    <w:rsid w:val="00772941"/>
    <w:rsid w:val="00773CE1"/>
    <w:rsid w:val="007756CB"/>
    <w:rsid w:val="00775C6E"/>
    <w:rsid w:val="007774EF"/>
    <w:rsid w:val="00783CAC"/>
    <w:rsid w:val="00786953"/>
    <w:rsid w:val="0079320D"/>
    <w:rsid w:val="00793765"/>
    <w:rsid w:val="0079618E"/>
    <w:rsid w:val="00796AAE"/>
    <w:rsid w:val="007A0268"/>
    <w:rsid w:val="007A0AFF"/>
    <w:rsid w:val="007A0E74"/>
    <w:rsid w:val="007B2A08"/>
    <w:rsid w:val="007B7905"/>
    <w:rsid w:val="007C1633"/>
    <w:rsid w:val="007C18BA"/>
    <w:rsid w:val="007C4188"/>
    <w:rsid w:val="007C5BA2"/>
    <w:rsid w:val="007D076F"/>
    <w:rsid w:val="007D1269"/>
    <w:rsid w:val="007D2594"/>
    <w:rsid w:val="007D3FAE"/>
    <w:rsid w:val="007D44F3"/>
    <w:rsid w:val="007D4E38"/>
    <w:rsid w:val="007D5FD9"/>
    <w:rsid w:val="007E2F00"/>
    <w:rsid w:val="007E54BA"/>
    <w:rsid w:val="007F0EEF"/>
    <w:rsid w:val="007F3841"/>
    <w:rsid w:val="007F430C"/>
    <w:rsid w:val="007F493C"/>
    <w:rsid w:val="007F5386"/>
    <w:rsid w:val="007F5483"/>
    <w:rsid w:val="007F7EC9"/>
    <w:rsid w:val="008018A5"/>
    <w:rsid w:val="0080306A"/>
    <w:rsid w:val="008046A2"/>
    <w:rsid w:val="00805427"/>
    <w:rsid w:val="0080767C"/>
    <w:rsid w:val="00814A23"/>
    <w:rsid w:val="00815CDA"/>
    <w:rsid w:val="008177ED"/>
    <w:rsid w:val="008231E8"/>
    <w:rsid w:val="00823566"/>
    <w:rsid w:val="00825759"/>
    <w:rsid w:val="0083391F"/>
    <w:rsid w:val="00834891"/>
    <w:rsid w:val="008349FF"/>
    <w:rsid w:val="00837162"/>
    <w:rsid w:val="00841D2F"/>
    <w:rsid w:val="00844977"/>
    <w:rsid w:val="00845C70"/>
    <w:rsid w:val="00845FCD"/>
    <w:rsid w:val="0084678D"/>
    <w:rsid w:val="00850053"/>
    <w:rsid w:val="008502BF"/>
    <w:rsid w:val="00850DBD"/>
    <w:rsid w:val="00851251"/>
    <w:rsid w:val="008513AF"/>
    <w:rsid w:val="00851A30"/>
    <w:rsid w:val="00855F59"/>
    <w:rsid w:val="0086234F"/>
    <w:rsid w:val="00864CB7"/>
    <w:rsid w:val="00870948"/>
    <w:rsid w:val="00872407"/>
    <w:rsid w:val="00873E1B"/>
    <w:rsid w:val="0087436B"/>
    <w:rsid w:val="008768DC"/>
    <w:rsid w:val="008828B1"/>
    <w:rsid w:val="0088299E"/>
    <w:rsid w:val="00882BC4"/>
    <w:rsid w:val="00885A5F"/>
    <w:rsid w:val="00886BFA"/>
    <w:rsid w:val="00891BC6"/>
    <w:rsid w:val="008925ED"/>
    <w:rsid w:val="00893DDF"/>
    <w:rsid w:val="00896939"/>
    <w:rsid w:val="008A05D0"/>
    <w:rsid w:val="008A090D"/>
    <w:rsid w:val="008A4845"/>
    <w:rsid w:val="008B18B6"/>
    <w:rsid w:val="008B4DFB"/>
    <w:rsid w:val="008B5897"/>
    <w:rsid w:val="008B672E"/>
    <w:rsid w:val="008B7238"/>
    <w:rsid w:val="008C1324"/>
    <w:rsid w:val="008C3BD5"/>
    <w:rsid w:val="008C4905"/>
    <w:rsid w:val="008C58DC"/>
    <w:rsid w:val="008D3E62"/>
    <w:rsid w:val="008D46F0"/>
    <w:rsid w:val="008D5A20"/>
    <w:rsid w:val="008D7A4B"/>
    <w:rsid w:val="008D7B87"/>
    <w:rsid w:val="008F0A04"/>
    <w:rsid w:val="008F3149"/>
    <w:rsid w:val="00906E75"/>
    <w:rsid w:val="009116B8"/>
    <w:rsid w:val="00914A70"/>
    <w:rsid w:val="0092117A"/>
    <w:rsid w:val="009211B4"/>
    <w:rsid w:val="00924B42"/>
    <w:rsid w:val="009253D7"/>
    <w:rsid w:val="00925BCC"/>
    <w:rsid w:val="009308AE"/>
    <w:rsid w:val="00935DE0"/>
    <w:rsid w:val="00936001"/>
    <w:rsid w:val="00936CEA"/>
    <w:rsid w:val="00943DFD"/>
    <w:rsid w:val="00943F67"/>
    <w:rsid w:val="00944ABB"/>
    <w:rsid w:val="0094542B"/>
    <w:rsid w:val="00946629"/>
    <w:rsid w:val="00947ACD"/>
    <w:rsid w:val="009525B6"/>
    <w:rsid w:val="00953FC2"/>
    <w:rsid w:val="00957B70"/>
    <w:rsid w:val="009626EB"/>
    <w:rsid w:val="009642DA"/>
    <w:rsid w:val="00964873"/>
    <w:rsid w:val="009648BE"/>
    <w:rsid w:val="009741AE"/>
    <w:rsid w:val="00974D7B"/>
    <w:rsid w:val="00981AD0"/>
    <w:rsid w:val="00982662"/>
    <w:rsid w:val="00985183"/>
    <w:rsid w:val="009874C9"/>
    <w:rsid w:val="00990D53"/>
    <w:rsid w:val="00990E3F"/>
    <w:rsid w:val="00991E76"/>
    <w:rsid w:val="009921F9"/>
    <w:rsid w:val="0099546B"/>
    <w:rsid w:val="00995AC3"/>
    <w:rsid w:val="00995DDF"/>
    <w:rsid w:val="00997670"/>
    <w:rsid w:val="00997863"/>
    <w:rsid w:val="009978D9"/>
    <w:rsid w:val="009A1B96"/>
    <w:rsid w:val="009A1F35"/>
    <w:rsid w:val="009A2133"/>
    <w:rsid w:val="009A4A46"/>
    <w:rsid w:val="009A78CB"/>
    <w:rsid w:val="009B2AE5"/>
    <w:rsid w:val="009B4653"/>
    <w:rsid w:val="009B49B7"/>
    <w:rsid w:val="009B5C97"/>
    <w:rsid w:val="009B7CC4"/>
    <w:rsid w:val="009C0287"/>
    <w:rsid w:val="009C7D4B"/>
    <w:rsid w:val="009D1C3C"/>
    <w:rsid w:val="009D1D40"/>
    <w:rsid w:val="009D4E83"/>
    <w:rsid w:val="009D6366"/>
    <w:rsid w:val="009D6E6E"/>
    <w:rsid w:val="009D77B7"/>
    <w:rsid w:val="009E05B3"/>
    <w:rsid w:val="009F0CBF"/>
    <w:rsid w:val="009F440E"/>
    <w:rsid w:val="009F7F82"/>
    <w:rsid w:val="00A0030F"/>
    <w:rsid w:val="00A019C4"/>
    <w:rsid w:val="00A057E2"/>
    <w:rsid w:val="00A070BF"/>
    <w:rsid w:val="00A1729E"/>
    <w:rsid w:val="00A23CB6"/>
    <w:rsid w:val="00A2434D"/>
    <w:rsid w:val="00A26C4B"/>
    <w:rsid w:val="00A27ACA"/>
    <w:rsid w:val="00A30F27"/>
    <w:rsid w:val="00A31FFE"/>
    <w:rsid w:val="00A3311B"/>
    <w:rsid w:val="00A41AE4"/>
    <w:rsid w:val="00A42220"/>
    <w:rsid w:val="00A42B05"/>
    <w:rsid w:val="00A4335D"/>
    <w:rsid w:val="00A44B91"/>
    <w:rsid w:val="00A46C60"/>
    <w:rsid w:val="00A470A2"/>
    <w:rsid w:val="00A523B2"/>
    <w:rsid w:val="00A525A3"/>
    <w:rsid w:val="00A52FB6"/>
    <w:rsid w:val="00A53C6E"/>
    <w:rsid w:val="00A57B31"/>
    <w:rsid w:val="00A63B09"/>
    <w:rsid w:val="00A67FFE"/>
    <w:rsid w:val="00A75DD8"/>
    <w:rsid w:val="00A83C08"/>
    <w:rsid w:val="00A845B4"/>
    <w:rsid w:val="00A86520"/>
    <w:rsid w:val="00A87833"/>
    <w:rsid w:val="00A91AF9"/>
    <w:rsid w:val="00A944D6"/>
    <w:rsid w:val="00A949F2"/>
    <w:rsid w:val="00AA422D"/>
    <w:rsid w:val="00AA4F33"/>
    <w:rsid w:val="00AA6543"/>
    <w:rsid w:val="00AB18D5"/>
    <w:rsid w:val="00AB4361"/>
    <w:rsid w:val="00AB4D43"/>
    <w:rsid w:val="00AB5436"/>
    <w:rsid w:val="00AC2733"/>
    <w:rsid w:val="00AC45F5"/>
    <w:rsid w:val="00AC5224"/>
    <w:rsid w:val="00AC6068"/>
    <w:rsid w:val="00AC6E35"/>
    <w:rsid w:val="00AC7243"/>
    <w:rsid w:val="00AC7EF2"/>
    <w:rsid w:val="00AD0382"/>
    <w:rsid w:val="00AD1EBD"/>
    <w:rsid w:val="00AD32D7"/>
    <w:rsid w:val="00AD3EBB"/>
    <w:rsid w:val="00AD66C5"/>
    <w:rsid w:val="00AE076B"/>
    <w:rsid w:val="00AE112E"/>
    <w:rsid w:val="00AE2BB2"/>
    <w:rsid w:val="00AE412D"/>
    <w:rsid w:val="00AE50B9"/>
    <w:rsid w:val="00AE6B04"/>
    <w:rsid w:val="00AF00AD"/>
    <w:rsid w:val="00AF2D77"/>
    <w:rsid w:val="00AF3579"/>
    <w:rsid w:val="00B058F1"/>
    <w:rsid w:val="00B06C4F"/>
    <w:rsid w:val="00B07908"/>
    <w:rsid w:val="00B10E15"/>
    <w:rsid w:val="00B11C15"/>
    <w:rsid w:val="00B12A18"/>
    <w:rsid w:val="00B12CB9"/>
    <w:rsid w:val="00B144BF"/>
    <w:rsid w:val="00B2143B"/>
    <w:rsid w:val="00B23FE4"/>
    <w:rsid w:val="00B2664E"/>
    <w:rsid w:val="00B33C77"/>
    <w:rsid w:val="00B33CDC"/>
    <w:rsid w:val="00B3477A"/>
    <w:rsid w:val="00B34A58"/>
    <w:rsid w:val="00B3789E"/>
    <w:rsid w:val="00B4019F"/>
    <w:rsid w:val="00B460E3"/>
    <w:rsid w:val="00B47816"/>
    <w:rsid w:val="00B5023E"/>
    <w:rsid w:val="00B54C63"/>
    <w:rsid w:val="00B56871"/>
    <w:rsid w:val="00B6136B"/>
    <w:rsid w:val="00B64F55"/>
    <w:rsid w:val="00B66EAF"/>
    <w:rsid w:val="00B70813"/>
    <w:rsid w:val="00B709E2"/>
    <w:rsid w:val="00B71662"/>
    <w:rsid w:val="00B75428"/>
    <w:rsid w:val="00B769C2"/>
    <w:rsid w:val="00B81A1B"/>
    <w:rsid w:val="00B81EED"/>
    <w:rsid w:val="00B8293E"/>
    <w:rsid w:val="00B84B34"/>
    <w:rsid w:val="00B863EC"/>
    <w:rsid w:val="00B9199D"/>
    <w:rsid w:val="00B93676"/>
    <w:rsid w:val="00BA0B82"/>
    <w:rsid w:val="00BA1C34"/>
    <w:rsid w:val="00BA3D12"/>
    <w:rsid w:val="00BA4AFB"/>
    <w:rsid w:val="00BA7DA5"/>
    <w:rsid w:val="00BB210C"/>
    <w:rsid w:val="00BB26CB"/>
    <w:rsid w:val="00BB31F8"/>
    <w:rsid w:val="00BB3801"/>
    <w:rsid w:val="00BB58E5"/>
    <w:rsid w:val="00BB7635"/>
    <w:rsid w:val="00BC4A96"/>
    <w:rsid w:val="00BC4BBA"/>
    <w:rsid w:val="00BC558E"/>
    <w:rsid w:val="00BC7221"/>
    <w:rsid w:val="00BD089C"/>
    <w:rsid w:val="00BD0B89"/>
    <w:rsid w:val="00BD32F8"/>
    <w:rsid w:val="00BD3932"/>
    <w:rsid w:val="00BD4173"/>
    <w:rsid w:val="00BE2744"/>
    <w:rsid w:val="00BE6C06"/>
    <w:rsid w:val="00BE753D"/>
    <w:rsid w:val="00BF152A"/>
    <w:rsid w:val="00BF3981"/>
    <w:rsid w:val="00C009F9"/>
    <w:rsid w:val="00C05647"/>
    <w:rsid w:val="00C108BD"/>
    <w:rsid w:val="00C10AB2"/>
    <w:rsid w:val="00C118DD"/>
    <w:rsid w:val="00C1211F"/>
    <w:rsid w:val="00C13E43"/>
    <w:rsid w:val="00C149AC"/>
    <w:rsid w:val="00C232E2"/>
    <w:rsid w:val="00C24A61"/>
    <w:rsid w:val="00C26C33"/>
    <w:rsid w:val="00C27934"/>
    <w:rsid w:val="00C30472"/>
    <w:rsid w:val="00C323A7"/>
    <w:rsid w:val="00C35BD0"/>
    <w:rsid w:val="00C35D73"/>
    <w:rsid w:val="00C3772B"/>
    <w:rsid w:val="00C40DAD"/>
    <w:rsid w:val="00C4184D"/>
    <w:rsid w:val="00C44632"/>
    <w:rsid w:val="00C46274"/>
    <w:rsid w:val="00C53492"/>
    <w:rsid w:val="00C544C6"/>
    <w:rsid w:val="00C54C69"/>
    <w:rsid w:val="00C573A4"/>
    <w:rsid w:val="00C578FB"/>
    <w:rsid w:val="00C60CF6"/>
    <w:rsid w:val="00C62540"/>
    <w:rsid w:val="00C626D6"/>
    <w:rsid w:val="00C63C79"/>
    <w:rsid w:val="00C652CD"/>
    <w:rsid w:val="00C659B6"/>
    <w:rsid w:val="00C66D49"/>
    <w:rsid w:val="00C74700"/>
    <w:rsid w:val="00C75CD2"/>
    <w:rsid w:val="00C7664D"/>
    <w:rsid w:val="00C81CFD"/>
    <w:rsid w:val="00C82E68"/>
    <w:rsid w:val="00C862A3"/>
    <w:rsid w:val="00C93341"/>
    <w:rsid w:val="00C96E50"/>
    <w:rsid w:val="00CA0971"/>
    <w:rsid w:val="00CA2DC2"/>
    <w:rsid w:val="00CA3E75"/>
    <w:rsid w:val="00CA5282"/>
    <w:rsid w:val="00CA7D2E"/>
    <w:rsid w:val="00CB1AAB"/>
    <w:rsid w:val="00CB4F45"/>
    <w:rsid w:val="00CB6A71"/>
    <w:rsid w:val="00CC1E37"/>
    <w:rsid w:val="00CC1F1F"/>
    <w:rsid w:val="00CC2796"/>
    <w:rsid w:val="00CC4054"/>
    <w:rsid w:val="00CC77F8"/>
    <w:rsid w:val="00CD1391"/>
    <w:rsid w:val="00CD15AC"/>
    <w:rsid w:val="00CD2116"/>
    <w:rsid w:val="00CD26A0"/>
    <w:rsid w:val="00CD468F"/>
    <w:rsid w:val="00CD5CFB"/>
    <w:rsid w:val="00CE46D8"/>
    <w:rsid w:val="00CE571A"/>
    <w:rsid w:val="00CF0E98"/>
    <w:rsid w:val="00CF2A17"/>
    <w:rsid w:val="00CF4542"/>
    <w:rsid w:val="00CF7E60"/>
    <w:rsid w:val="00D042FA"/>
    <w:rsid w:val="00D0456B"/>
    <w:rsid w:val="00D05EB5"/>
    <w:rsid w:val="00D07095"/>
    <w:rsid w:val="00D139A0"/>
    <w:rsid w:val="00D1632C"/>
    <w:rsid w:val="00D241EF"/>
    <w:rsid w:val="00D4010D"/>
    <w:rsid w:val="00D40347"/>
    <w:rsid w:val="00D41E13"/>
    <w:rsid w:val="00D41ED8"/>
    <w:rsid w:val="00D42D67"/>
    <w:rsid w:val="00D44F40"/>
    <w:rsid w:val="00D45496"/>
    <w:rsid w:val="00D46424"/>
    <w:rsid w:val="00D503DB"/>
    <w:rsid w:val="00D540FD"/>
    <w:rsid w:val="00D57359"/>
    <w:rsid w:val="00D616F9"/>
    <w:rsid w:val="00D63FDD"/>
    <w:rsid w:val="00D640FB"/>
    <w:rsid w:val="00D67F13"/>
    <w:rsid w:val="00D74C9C"/>
    <w:rsid w:val="00D74CF4"/>
    <w:rsid w:val="00D76C33"/>
    <w:rsid w:val="00D77C05"/>
    <w:rsid w:val="00D8039F"/>
    <w:rsid w:val="00D8070F"/>
    <w:rsid w:val="00D817AD"/>
    <w:rsid w:val="00D8307B"/>
    <w:rsid w:val="00D909C5"/>
    <w:rsid w:val="00D94267"/>
    <w:rsid w:val="00D9503C"/>
    <w:rsid w:val="00D95DD8"/>
    <w:rsid w:val="00D974B2"/>
    <w:rsid w:val="00DA1F57"/>
    <w:rsid w:val="00DA2DBF"/>
    <w:rsid w:val="00DA39D0"/>
    <w:rsid w:val="00DA62BF"/>
    <w:rsid w:val="00DB2DFE"/>
    <w:rsid w:val="00DB361A"/>
    <w:rsid w:val="00DB3C4F"/>
    <w:rsid w:val="00DB445F"/>
    <w:rsid w:val="00DB5BAA"/>
    <w:rsid w:val="00DB639A"/>
    <w:rsid w:val="00DB702A"/>
    <w:rsid w:val="00DC1BB2"/>
    <w:rsid w:val="00DC212F"/>
    <w:rsid w:val="00DC39F6"/>
    <w:rsid w:val="00DC3BBC"/>
    <w:rsid w:val="00DC6367"/>
    <w:rsid w:val="00DD1F9B"/>
    <w:rsid w:val="00DD2C35"/>
    <w:rsid w:val="00DD40B4"/>
    <w:rsid w:val="00DD5A26"/>
    <w:rsid w:val="00DE10DD"/>
    <w:rsid w:val="00DE2AA7"/>
    <w:rsid w:val="00DE30F6"/>
    <w:rsid w:val="00DF245F"/>
    <w:rsid w:val="00DF3DAE"/>
    <w:rsid w:val="00DF4C3D"/>
    <w:rsid w:val="00DF5A4A"/>
    <w:rsid w:val="00E00BD6"/>
    <w:rsid w:val="00E01445"/>
    <w:rsid w:val="00E070C2"/>
    <w:rsid w:val="00E11B2C"/>
    <w:rsid w:val="00E12144"/>
    <w:rsid w:val="00E1455D"/>
    <w:rsid w:val="00E15565"/>
    <w:rsid w:val="00E17676"/>
    <w:rsid w:val="00E176E3"/>
    <w:rsid w:val="00E17948"/>
    <w:rsid w:val="00E17D5F"/>
    <w:rsid w:val="00E20B3F"/>
    <w:rsid w:val="00E21AEB"/>
    <w:rsid w:val="00E2209A"/>
    <w:rsid w:val="00E252D7"/>
    <w:rsid w:val="00E27D28"/>
    <w:rsid w:val="00E33588"/>
    <w:rsid w:val="00E3372C"/>
    <w:rsid w:val="00E34AD4"/>
    <w:rsid w:val="00E376CA"/>
    <w:rsid w:val="00E37C10"/>
    <w:rsid w:val="00E402E6"/>
    <w:rsid w:val="00E42DDB"/>
    <w:rsid w:val="00E47D3F"/>
    <w:rsid w:val="00E47E1C"/>
    <w:rsid w:val="00E53CF6"/>
    <w:rsid w:val="00E55467"/>
    <w:rsid w:val="00E55F0A"/>
    <w:rsid w:val="00E56C7E"/>
    <w:rsid w:val="00E60624"/>
    <w:rsid w:val="00E60CF2"/>
    <w:rsid w:val="00E62594"/>
    <w:rsid w:val="00E75C31"/>
    <w:rsid w:val="00E82664"/>
    <w:rsid w:val="00E84601"/>
    <w:rsid w:val="00E87DC2"/>
    <w:rsid w:val="00E91CDC"/>
    <w:rsid w:val="00E94203"/>
    <w:rsid w:val="00E94760"/>
    <w:rsid w:val="00E96DA7"/>
    <w:rsid w:val="00EB1FD8"/>
    <w:rsid w:val="00EB2976"/>
    <w:rsid w:val="00EB337F"/>
    <w:rsid w:val="00EB4109"/>
    <w:rsid w:val="00EB4BED"/>
    <w:rsid w:val="00EB6B9B"/>
    <w:rsid w:val="00EC0518"/>
    <w:rsid w:val="00EC2D95"/>
    <w:rsid w:val="00EC3640"/>
    <w:rsid w:val="00EC5591"/>
    <w:rsid w:val="00EC55A9"/>
    <w:rsid w:val="00ED0A79"/>
    <w:rsid w:val="00ED1919"/>
    <w:rsid w:val="00ED1FB4"/>
    <w:rsid w:val="00ED3FB8"/>
    <w:rsid w:val="00EE34C5"/>
    <w:rsid w:val="00EE4D75"/>
    <w:rsid w:val="00EE6DF4"/>
    <w:rsid w:val="00EE7E75"/>
    <w:rsid w:val="00EF06A2"/>
    <w:rsid w:val="00EF3179"/>
    <w:rsid w:val="00F03BDA"/>
    <w:rsid w:val="00F10A01"/>
    <w:rsid w:val="00F1288F"/>
    <w:rsid w:val="00F16930"/>
    <w:rsid w:val="00F175C6"/>
    <w:rsid w:val="00F2076F"/>
    <w:rsid w:val="00F23024"/>
    <w:rsid w:val="00F2359B"/>
    <w:rsid w:val="00F25356"/>
    <w:rsid w:val="00F27703"/>
    <w:rsid w:val="00F32F7D"/>
    <w:rsid w:val="00F33BD9"/>
    <w:rsid w:val="00F42096"/>
    <w:rsid w:val="00F44448"/>
    <w:rsid w:val="00F460D1"/>
    <w:rsid w:val="00F467A0"/>
    <w:rsid w:val="00F47756"/>
    <w:rsid w:val="00F479B7"/>
    <w:rsid w:val="00F53CE9"/>
    <w:rsid w:val="00F55594"/>
    <w:rsid w:val="00F6337F"/>
    <w:rsid w:val="00F80AF6"/>
    <w:rsid w:val="00F830BF"/>
    <w:rsid w:val="00F83DA9"/>
    <w:rsid w:val="00F87DAE"/>
    <w:rsid w:val="00F914A1"/>
    <w:rsid w:val="00F95AFB"/>
    <w:rsid w:val="00F95D65"/>
    <w:rsid w:val="00FA02B5"/>
    <w:rsid w:val="00FA4347"/>
    <w:rsid w:val="00FB000A"/>
    <w:rsid w:val="00FB66BA"/>
    <w:rsid w:val="00FB735A"/>
    <w:rsid w:val="00FD3E5F"/>
    <w:rsid w:val="00FD52B4"/>
    <w:rsid w:val="00FD5D98"/>
    <w:rsid w:val="00FD72AF"/>
    <w:rsid w:val="00FE0059"/>
    <w:rsid w:val="00FE7B32"/>
    <w:rsid w:val="00FF0142"/>
    <w:rsid w:val="00FF1B5A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1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7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F716D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4F716D"/>
    <w:rPr>
      <w:rFonts w:ascii="Verdana" w:eastAsia="Times New Roman" w:hAnsi="Verdana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716D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F716D"/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Nagwek1kwartalne">
    <w:name w:val="Nagłówek_1_kwartalne"/>
    <w:basedOn w:val="Nagwek1"/>
    <w:rsid w:val="004F716D"/>
    <w:pPr>
      <w:keepLines w:val="0"/>
      <w:spacing w:before="0" w:line="300" w:lineRule="exact"/>
      <w:jc w:val="both"/>
    </w:pPr>
    <w:rPr>
      <w:rFonts w:ascii="Verdana" w:eastAsia="Times New Roman" w:hAnsi="Verdana" w:cs="Times New Roman"/>
      <w:bCs w:val="0"/>
      <w:color w:val="auto"/>
      <w:sz w:val="18"/>
      <w:szCs w:val="20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7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16D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0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0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0D7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3C4F"/>
    <w:pPr>
      <w:spacing w:after="12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3C4F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C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C3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5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1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7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F716D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4F716D"/>
    <w:rPr>
      <w:rFonts w:ascii="Verdana" w:eastAsia="Times New Roman" w:hAnsi="Verdana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716D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F716D"/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Nagwek1kwartalne">
    <w:name w:val="Nagłówek_1_kwartalne"/>
    <w:basedOn w:val="Nagwek1"/>
    <w:rsid w:val="004F716D"/>
    <w:pPr>
      <w:keepLines w:val="0"/>
      <w:spacing w:before="0" w:line="300" w:lineRule="exact"/>
      <w:jc w:val="both"/>
    </w:pPr>
    <w:rPr>
      <w:rFonts w:ascii="Verdana" w:eastAsia="Times New Roman" w:hAnsi="Verdana" w:cs="Times New Roman"/>
      <w:bCs w:val="0"/>
      <w:color w:val="auto"/>
      <w:sz w:val="18"/>
      <w:szCs w:val="20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7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16D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0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0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0D7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3C4F"/>
    <w:pPr>
      <w:spacing w:after="12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3C4F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C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C3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F4C5A-3617-4598-9B19-D228ABC2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1609</Words>
  <Characters>9656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BUDIMEX S.A.</Company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Kozioł</dc:creator>
  <cp:lastModifiedBy>Michał Wrzosek</cp:lastModifiedBy>
  <cp:revision>3</cp:revision>
  <cp:lastPrinted>2018-10-29T16:38:00Z</cp:lastPrinted>
  <dcterms:created xsi:type="dcterms:W3CDTF">2018-10-29T16:38:00Z</dcterms:created>
  <dcterms:modified xsi:type="dcterms:W3CDTF">2018-10-29T16:38:00Z</dcterms:modified>
</cp:coreProperties>
</file>