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6C383" w14:textId="69EFA96A" w:rsidR="00D824D3" w:rsidRPr="006B3CBD" w:rsidRDefault="00F65CEF">
      <w:pPr>
        <w:tabs>
          <w:tab w:val="left" w:pos="905"/>
          <w:tab w:val="right" w:pos="9298"/>
        </w:tabs>
        <w:spacing w:after="0" w:line="360" w:lineRule="auto"/>
        <w:jc w:val="right"/>
        <w:rPr>
          <w:rFonts w:ascii="Tahoma" w:eastAsia="Tahoma" w:hAnsi="Tahoma" w:cs="Tahoma"/>
          <w:color w:val="808080"/>
          <w:sz w:val="20"/>
          <w:szCs w:val="20"/>
          <w:highlight w:val="white"/>
        </w:rPr>
      </w:pPr>
      <w:r w:rsidRPr="006B3CBD">
        <w:rPr>
          <w:rFonts w:ascii="Tahoma" w:eastAsia="Tahoma" w:hAnsi="Tahoma" w:cs="Tahoma"/>
          <w:color w:val="808080"/>
          <w:sz w:val="20"/>
          <w:szCs w:val="20"/>
        </w:rPr>
        <w:tab/>
      </w:r>
      <w:r w:rsidRPr="006B3CBD">
        <w:rPr>
          <w:rFonts w:ascii="Tahoma" w:eastAsia="Tahoma" w:hAnsi="Tahoma" w:cs="Tahoma"/>
          <w:color w:val="808080"/>
          <w:sz w:val="20"/>
          <w:szCs w:val="20"/>
        </w:rPr>
        <w:tab/>
        <w:t>Warszawa,</w:t>
      </w:r>
      <w:r w:rsidR="00DA12A6" w:rsidRPr="006B3CBD">
        <w:rPr>
          <w:rFonts w:ascii="Tahoma" w:eastAsia="Tahoma" w:hAnsi="Tahoma" w:cs="Tahoma"/>
          <w:color w:val="808080"/>
          <w:sz w:val="20"/>
          <w:szCs w:val="20"/>
        </w:rPr>
        <w:t xml:space="preserve"> </w:t>
      </w:r>
      <w:r w:rsidR="00C22973" w:rsidRPr="006B3CBD">
        <w:rPr>
          <w:rFonts w:ascii="Tahoma" w:eastAsia="Tahoma" w:hAnsi="Tahoma" w:cs="Tahoma"/>
          <w:color w:val="808080"/>
          <w:sz w:val="20"/>
          <w:szCs w:val="20"/>
        </w:rPr>
        <w:t>2</w:t>
      </w:r>
      <w:r w:rsidR="000E35A1" w:rsidRPr="006B3CBD">
        <w:rPr>
          <w:rFonts w:ascii="Tahoma" w:eastAsia="Tahoma" w:hAnsi="Tahoma" w:cs="Tahoma"/>
          <w:color w:val="808080"/>
          <w:sz w:val="20"/>
          <w:szCs w:val="20"/>
        </w:rPr>
        <w:t>6</w:t>
      </w:r>
      <w:r w:rsidR="00D46F70" w:rsidRPr="006B3CBD">
        <w:rPr>
          <w:rFonts w:ascii="Tahoma" w:eastAsia="Tahoma" w:hAnsi="Tahoma" w:cs="Tahoma"/>
          <w:color w:val="808080"/>
          <w:sz w:val="20"/>
          <w:szCs w:val="20"/>
        </w:rPr>
        <w:t xml:space="preserve"> </w:t>
      </w:r>
      <w:r w:rsidR="000E35A1" w:rsidRPr="006B3CBD">
        <w:rPr>
          <w:rFonts w:ascii="Tahoma" w:eastAsia="Tahoma" w:hAnsi="Tahoma" w:cs="Tahoma"/>
          <w:color w:val="808080"/>
          <w:sz w:val="20"/>
          <w:szCs w:val="20"/>
        </w:rPr>
        <w:t>października</w:t>
      </w:r>
      <w:r w:rsidR="00D46F70" w:rsidRPr="006B3CBD">
        <w:rPr>
          <w:rFonts w:ascii="Tahoma" w:eastAsia="Tahoma" w:hAnsi="Tahoma" w:cs="Tahoma"/>
          <w:color w:val="808080"/>
          <w:sz w:val="20"/>
          <w:szCs w:val="20"/>
        </w:rPr>
        <w:t xml:space="preserve"> </w:t>
      </w:r>
      <w:r w:rsidR="00360B0E" w:rsidRPr="006B3CBD">
        <w:rPr>
          <w:rFonts w:ascii="Tahoma" w:eastAsia="Tahoma" w:hAnsi="Tahoma" w:cs="Tahoma"/>
          <w:color w:val="808080"/>
          <w:sz w:val="20"/>
          <w:szCs w:val="20"/>
          <w:highlight w:val="white"/>
        </w:rPr>
        <w:t>202</w:t>
      </w:r>
      <w:r w:rsidR="00B84905" w:rsidRPr="006B3CBD">
        <w:rPr>
          <w:rFonts w:ascii="Tahoma" w:eastAsia="Tahoma" w:hAnsi="Tahoma" w:cs="Tahoma"/>
          <w:color w:val="808080"/>
          <w:sz w:val="20"/>
          <w:szCs w:val="20"/>
          <w:highlight w:val="white"/>
        </w:rPr>
        <w:t>2</w:t>
      </w:r>
      <w:r w:rsidR="00B63B5B" w:rsidRPr="006B3CBD"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 r.</w:t>
      </w:r>
    </w:p>
    <w:p w14:paraId="09B71CDC" w14:textId="77D19649" w:rsidR="00D824D3" w:rsidRPr="006B3CBD" w:rsidRDefault="00B63B5B">
      <w:pPr>
        <w:spacing w:line="360" w:lineRule="auto"/>
        <w:jc w:val="center"/>
        <w:rPr>
          <w:rFonts w:ascii="Tahoma" w:eastAsia="Tahoma" w:hAnsi="Tahoma" w:cs="Tahoma"/>
          <w:b/>
          <w:color w:val="FFC000"/>
        </w:rPr>
      </w:pPr>
      <w:r w:rsidRPr="006B3CBD">
        <w:rPr>
          <w:noProof/>
        </w:rPr>
        <w:drawing>
          <wp:anchor distT="0" distB="0" distL="114300" distR="114300" simplePos="0" relativeHeight="251658240" behindDoc="0" locked="0" layoutInCell="1" hidden="0" allowOverlap="1" wp14:anchorId="2629EEB8" wp14:editId="2D5C56E0">
            <wp:simplePos x="0" y="0"/>
            <wp:positionH relativeFrom="column">
              <wp:posOffset>4765040</wp:posOffset>
            </wp:positionH>
            <wp:positionV relativeFrom="paragraph">
              <wp:posOffset>27305</wp:posOffset>
            </wp:positionV>
            <wp:extent cx="290830" cy="290830"/>
            <wp:effectExtent l="0" t="0" r="0" b="0"/>
            <wp:wrapNone/>
            <wp:docPr id="3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6B3CBD">
        <w:rPr>
          <w:noProof/>
        </w:rPr>
        <w:drawing>
          <wp:anchor distT="0" distB="0" distL="114300" distR="114300" simplePos="0" relativeHeight="251659264" behindDoc="0" locked="0" layoutInCell="1" hidden="0" allowOverlap="1" wp14:anchorId="751035CC" wp14:editId="09ECC946">
            <wp:simplePos x="0" y="0"/>
            <wp:positionH relativeFrom="column">
              <wp:posOffset>4370705</wp:posOffset>
            </wp:positionH>
            <wp:positionV relativeFrom="paragraph">
              <wp:posOffset>27305</wp:posOffset>
            </wp:positionV>
            <wp:extent cx="262890" cy="262890"/>
            <wp:effectExtent l="0" t="0" r="0" b="0"/>
            <wp:wrapNone/>
            <wp:docPr id="4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6B3CBD">
        <w:rPr>
          <w:noProof/>
        </w:rPr>
        <w:drawing>
          <wp:anchor distT="0" distB="0" distL="114300" distR="114300" simplePos="0" relativeHeight="251660288" behindDoc="0" locked="0" layoutInCell="1" hidden="0" allowOverlap="1" wp14:anchorId="5BF24723" wp14:editId="789FF934">
            <wp:simplePos x="0" y="0"/>
            <wp:positionH relativeFrom="column">
              <wp:posOffset>5180965</wp:posOffset>
            </wp:positionH>
            <wp:positionV relativeFrom="paragraph">
              <wp:posOffset>41275</wp:posOffset>
            </wp:positionV>
            <wp:extent cx="248920" cy="248920"/>
            <wp:effectExtent l="0" t="0" r="0" b="0"/>
            <wp:wrapNone/>
            <wp:docPr id="3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8"/>
        <w:tblW w:w="10471" w:type="dxa"/>
        <w:tblInd w:w="-3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353"/>
        <w:gridCol w:w="3118"/>
      </w:tblGrid>
      <w:tr w:rsidR="00D824D3" w:rsidRPr="006B3CBD" w14:paraId="18FE4A91" w14:textId="77777777" w:rsidTr="002B77BF">
        <w:tc>
          <w:tcPr>
            <w:tcW w:w="7353" w:type="dxa"/>
          </w:tcPr>
          <w:p w14:paraId="50DAD41A" w14:textId="5A044020" w:rsidR="00D824D3" w:rsidRPr="006B3CBD" w:rsidRDefault="00F65CEF">
            <w:pPr>
              <w:spacing w:line="360" w:lineRule="auto"/>
              <w:rPr>
                <w:rFonts w:ascii="Tahoma" w:eastAsia="Tahoma" w:hAnsi="Tahoma" w:cs="Tahoma"/>
                <w:bCs/>
                <w:color w:val="7F7F7F"/>
                <w:sz w:val="24"/>
                <w:szCs w:val="24"/>
              </w:rPr>
            </w:pPr>
            <w:r w:rsidRPr="006B3CBD">
              <w:rPr>
                <w:rFonts w:ascii="Tahoma" w:eastAsia="Tahoma" w:hAnsi="Tahoma" w:cs="Tahoma"/>
                <w:bCs/>
                <w:color w:val="7F7F7F"/>
                <w:sz w:val="24"/>
                <w:szCs w:val="24"/>
              </w:rPr>
              <w:t>#</w:t>
            </w:r>
            <w:r w:rsidR="00775CAB" w:rsidRPr="006B3CBD">
              <w:rPr>
                <w:rFonts w:ascii="Tahoma" w:eastAsia="Tahoma" w:hAnsi="Tahoma" w:cs="Tahoma"/>
                <w:bCs/>
                <w:color w:val="7F7F7F"/>
                <w:sz w:val="24"/>
                <w:szCs w:val="24"/>
              </w:rPr>
              <w:t>wynikifinansowe</w:t>
            </w:r>
            <w:r w:rsidR="004E7219" w:rsidRPr="006B3CBD">
              <w:rPr>
                <w:rFonts w:ascii="Tahoma" w:eastAsia="Tahoma" w:hAnsi="Tahoma" w:cs="Tahoma"/>
                <w:bCs/>
                <w:color w:val="7F7F7F"/>
                <w:sz w:val="24"/>
                <w:szCs w:val="24"/>
              </w:rPr>
              <w:t xml:space="preserve"> </w:t>
            </w:r>
          </w:p>
          <w:p w14:paraId="7607BB6A" w14:textId="77777777" w:rsidR="00D824D3" w:rsidRPr="006B3CBD" w:rsidRDefault="00D824D3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7F7F7F"/>
                <w:sz w:val="24"/>
                <w:szCs w:val="24"/>
              </w:rPr>
            </w:pPr>
          </w:p>
          <w:p w14:paraId="3D71A51E" w14:textId="44072B44" w:rsidR="00D51FBF" w:rsidRPr="006B3CBD" w:rsidRDefault="00775CAB" w:rsidP="00D51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ahoma" w:eastAsia="Tahoma" w:hAnsi="Tahoma" w:cs="Tahoma"/>
                <w:b/>
                <w:color w:val="7F7F7F" w:themeColor="text1" w:themeTint="80"/>
              </w:rPr>
            </w:pPr>
            <w:r w:rsidRPr="006B3CBD">
              <w:rPr>
                <w:rFonts w:ascii="Tahoma" w:eastAsia="Tahoma" w:hAnsi="Tahoma" w:cs="Tahoma"/>
                <w:b/>
                <w:color w:val="7F7F7F" w:themeColor="text1" w:themeTint="80"/>
              </w:rPr>
              <w:t>Komentarz prezesa Zarządu Budimeksu SA</w:t>
            </w:r>
          </w:p>
          <w:p w14:paraId="4136047E" w14:textId="4475F46E" w:rsidR="00D51FBF" w:rsidRPr="006B3CBD" w:rsidRDefault="00AA6F3B" w:rsidP="00D51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ahoma" w:eastAsia="Tahoma" w:hAnsi="Tahoma" w:cs="Tahoma"/>
                <w:b/>
                <w:color w:val="7F7F7F" w:themeColor="text1" w:themeTint="80"/>
              </w:rPr>
            </w:pPr>
            <w:r w:rsidRPr="006B3CBD">
              <w:rPr>
                <w:rFonts w:ascii="Tahoma" w:eastAsia="Tahoma" w:hAnsi="Tahoma" w:cs="Tahoma"/>
                <w:b/>
                <w:color w:val="7F7F7F" w:themeColor="text1" w:themeTint="80"/>
              </w:rPr>
              <w:t>Artura Popko</w:t>
            </w:r>
          </w:p>
          <w:p w14:paraId="1F08E350" w14:textId="49373C8C" w:rsidR="009A2A41" w:rsidRPr="006B3CBD" w:rsidRDefault="009A2A41" w:rsidP="009A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  <w:r w:rsidRPr="006B3CBD">
              <w:rPr>
                <w:rFonts w:ascii="Tahoma" w:eastAsia="Tahoma" w:hAnsi="Tahoma" w:cs="Tahoma"/>
                <w:b/>
                <w:color w:val="FFC000"/>
              </w:rPr>
              <w:t xml:space="preserve">do danych finansowych Grupy Budimex </w:t>
            </w:r>
            <w:r w:rsidRPr="006B3CBD">
              <w:rPr>
                <w:rFonts w:ascii="Tahoma" w:eastAsia="Tahoma" w:hAnsi="Tahoma" w:cs="Tahoma"/>
                <w:b/>
                <w:color w:val="FFC000"/>
              </w:rPr>
              <w:br/>
              <w:t xml:space="preserve">za </w:t>
            </w:r>
            <w:r w:rsidR="00FF61D8" w:rsidRPr="006B3CBD">
              <w:rPr>
                <w:rFonts w:ascii="Tahoma" w:eastAsia="Tahoma" w:hAnsi="Tahoma" w:cs="Tahoma"/>
                <w:b/>
                <w:color w:val="FFC000"/>
              </w:rPr>
              <w:t>trzy</w:t>
            </w:r>
            <w:r w:rsidRPr="006B3CBD">
              <w:rPr>
                <w:rFonts w:ascii="Tahoma" w:eastAsia="Tahoma" w:hAnsi="Tahoma" w:cs="Tahoma"/>
                <w:b/>
                <w:color w:val="FFC000"/>
              </w:rPr>
              <w:t xml:space="preserve"> </w:t>
            </w:r>
            <w:r w:rsidR="000E35A1" w:rsidRPr="006B3CBD">
              <w:rPr>
                <w:rFonts w:ascii="Tahoma" w:eastAsia="Tahoma" w:hAnsi="Tahoma" w:cs="Tahoma"/>
                <w:b/>
                <w:color w:val="FFC000"/>
              </w:rPr>
              <w:t>kwartały</w:t>
            </w:r>
            <w:r w:rsidRPr="006B3CBD">
              <w:rPr>
                <w:rFonts w:ascii="Tahoma" w:eastAsia="Tahoma" w:hAnsi="Tahoma" w:cs="Tahoma"/>
                <w:b/>
                <w:color w:val="FFC000"/>
              </w:rPr>
              <w:t xml:space="preserve"> 2022 roku</w:t>
            </w:r>
          </w:p>
          <w:p w14:paraId="2D0A5BC2" w14:textId="77777777" w:rsidR="00A9414D" w:rsidRPr="006B3CBD" w:rsidRDefault="00A9414D" w:rsidP="00B84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46075F24" w14:textId="6AC55C5C" w:rsidR="009A2A41" w:rsidRPr="006B3CBD" w:rsidRDefault="00E137C2" w:rsidP="009A2A4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</w:pPr>
            <w:r w:rsidRPr="006B3CB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Po trzech kwartałach</w:t>
            </w:r>
            <w:r w:rsidR="009A2A41" w:rsidRPr="006B3CB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2022 roku przychody ze sprzedaży Grupy Budimex wyniosły </w:t>
            </w:r>
            <w:r w:rsidRPr="006B3CB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6 </w:t>
            </w:r>
            <w:r w:rsidR="00FF61D8" w:rsidRPr="006B3CB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mld </w:t>
            </w:r>
            <w:r w:rsidRPr="006B3CB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368 </w:t>
            </w:r>
            <w:r w:rsidR="009A2A41" w:rsidRPr="006B3CB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milionów złotych (</w:t>
            </w:r>
            <w:r w:rsidR="000C0857" w:rsidRPr="006B3CB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+</w:t>
            </w:r>
            <w:r w:rsidRPr="006B3CB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15</w:t>
            </w:r>
            <w:r w:rsidR="009A2A41" w:rsidRPr="006B3CB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% r/r)</w:t>
            </w:r>
            <w:r w:rsidR="00CA1A74" w:rsidRPr="006B3CB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,</w:t>
            </w:r>
            <w:r w:rsidR="009A2A41" w:rsidRPr="006B3CB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a zysk netto </w:t>
            </w:r>
            <w:r w:rsidR="00C22973" w:rsidRPr="006B3CB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z działalności kontynuowanej</w:t>
            </w:r>
            <w:r w:rsidR="00B91D54" w:rsidRPr="006B3CB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*</w:t>
            </w:r>
            <w:r w:rsidR="00C22973" w:rsidRPr="006B3CB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</w:t>
            </w:r>
            <w:r w:rsidR="009A2A41" w:rsidRPr="006B3CB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osiągnął poziom </w:t>
            </w:r>
            <w:r w:rsidRPr="006B3CB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359</w:t>
            </w:r>
            <w:r w:rsidR="009A2A41" w:rsidRPr="006B3CB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milionów złotych</w:t>
            </w:r>
          </w:p>
          <w:p w14:paraId="11CFD5AD" w14:textId="16BC8361" w:rsidR="0087588D" w:rsidRPr="006B3CBD" w:rsidRDefault="009A2A41" w:rsidP="000C085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</w:pPr>
            <w:r w:rsidRPr="006B3CB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Rentowność </w:t>
            </w:r>
            <w:r w:rsidR="000C0857" w:rsidRPr="006B3CB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operacyjna</w:t>
            </w:r>
            <w:r w:rsidRPr="006B3CB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Grupy osiągnęła poziom </w:t>
            </w:r>
            <w:r w:rsidR="00E137C2" w:rsidRPr="006B3CB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6,5</w:t>
            </w:r>
            <w:r w:rsidRPr="006B3CB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%</w:t>
            </w:r>
            <w:r w:rsidR="0087588D" w:rsidRPr="006B3CB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w porównaniu do </w:t>
            </w:r>
            <w:r w:rsidR="00E137C2" w:rsidRPr="006B3CB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7</w:t>
            </w:r>
            <w:r w:rsidR="005E3E65" w:rsidRPr="006B3CB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,5</w:t>
            </w:r>
            <w:r w:rsidR="0087588D" w:rsidRPr="006B3CB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% </w:t>
            </w:r>
            <w:r w:rsidR="00EF1ECC" w:rsidRPr="006B3CB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w </w:t>
            </w:r>
            <w:r w:rsidR="00E137C2" w:rsidRPr="006B3CB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analogicznym okresie</w:t>
            </w:r>
            <w:r w:rsidR="0087588D" w:rsidRPr="006B3CB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2021 roku</w:t>
            </w:r>
            <w:r w:rsidR="005E3E65" w:rsidRPr="006B3CB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(6,</w:t>
            </w:r>
            <w:r w:rsidR="008A765A" w:rsidRPr="006B3CB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3</w:t>
            </w:r>
            <w:r w:rsidR="005E3E65" w:rsidRPr="006B3CB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% po wyłączeniu efektu </w:t>
            </w:r>
            <w:r w:rsidR="005E3E65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sprzedaży </w:t>
            </w:r>
            <w:r w:rsidR="006E0023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spółki </w:t>
            </w:r>
            <w:r w:rsidR="005E3E65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Budimex Nieruchomości</w:t>
            </w:r>
            <w:r w:rsidR="00CA1A74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*</w:t>
            </w:r>
            <w:r w:rsidR="00B91D54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*</w:t>
            </w:r>
            <w:r w:rsidR="005E3E65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w </w:t>
            </w:r>
            <w:r w:rsidR="00456600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drugim</w:t>
            </w:r>
            <w:r w:rsidR="005E3E65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kwartale 2021 roku</w:t>
            </w:r>
            <w:r w:rsidR="0087588D" w:rsidRPr="006B3CB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) </w:t>
            </w:r>
          </w:p>
          <w:p w14:paraId="03CEF873" w14:textId="6D977B25" w:rsidR="00B60995" w:rsidRPr="006B3CBD" w:rsidRDefault="00B60995" w:rsidP="00B6099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</w:pPr>
            <w:r w:rsidRPr="006B3CB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Rentowność </w:t>
            </w:r>
            <w:r w:rsidR="004E0543" w:rsidRPr="006B3CB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zysku </w:t>
            </w:r>
            <w:r w:rsidRPr="006B3CB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brutto Grupy wyniosła </w:t>
            </w:r>
            <w:r w:rsidR="008A765A" w:rsidRPr="006B3CB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7,3</w:t>
            </w:r>
            <w:r w:rsidRPr="006B3CB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% w porównaniu do </w:t>
            </w:r>
            <w:r w:rsidR="00D96546" w:rsidRPr="006B3CB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7</w:t>
            </w:r>
            <w:r w:rsidR="0087588D" w:rsidRPr="006B3CB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,0</w:t>
            </w:r>
            <w:r w:rsidRPr="006B3CB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% </w:t>
            </w:r>
            <w:r w:rsidRPr="006B3CB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br/>
            </w:r>
            <w:r w:rsidR="00D96546" w:rsidRPr="006B3CB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po trzech kwartałach </w:t>
            </w:r>
            <w:r w:rsidR="00A5688E" w:rsidRPr="006B3CB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202</w:t>
            </w:r>
            <w:r w:rsidR="00A5688E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1</w:t>
            </w:r>
            <w:r w:rsidR="00A5688E" w:rsidRPr="006B3CB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</w:t>
            </w:r>
            <w:r w:rsidRPr="006B3CB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roku</w:t>
            </w:r>
            <w:r w:rsidR="004E799B" w:rsidRPr="006B3CB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(5,</w:t>
            </w:r>
            <w:r w:rsidR="00DE0FF7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8</w:t>
            </w:r>
            <w:r w:rsidR="004E799B" w:rsidRPr="006B3CB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% po wyłączeniu efektu </w:t>
            </w:r>
            <w:r w:rsidR="004E799B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sprzedaży </w:t>
            </w:r>
            <w:r w:rsidR="006E0023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spółki </w:t>
            </w:r>
            <w:r w:rsidR="004E799B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Budimex Nieruchomości</w:t>
            </w:r>
            <w:r w:rsidR="00CA1A74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*</w:t>
            </w:r>
            <w:r w:rsidR="00405427" w:rsidRPr="004132B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*</w:t>
            </w:r>
            <w:r w:rsidR="004E799B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w </w:t>
            </w:r>
            <w:r w:rsidR="00456600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drugim</w:t>
            </w:r>
            <w:r w:rsidR="004E799B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kwartale 2021 roku</w:t>
            </w:r>
            <w:r w:rsidR="004E799B" w:rsidRPr="006B3CB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)</w:t>
            </w:r>
          </w:p>
          <w:p w14:paraId="1CF9C9E7" w14:textId="7176C355" w:rsidR="009A2A41" w:rsidRPr="006B3CBD" w:rsidRDefault="0087588D" w:rsidP="009A2A4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</w:pPr>
            <w:r w:rsidRPr="006B3CB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Wartość kontraktów pozyskanych w pierwszej połowie roku przekroczyła </w:t>
            </w:r>
            <w:r w:rsidR="008A765A" w:rsidRPr="006B3CB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4,6</w:t>
            </w:r>
            <w:r w:rsidRPr="006B3CB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miliard</w:t>
            </w:r>
            <w:r w:rsidR="008A765A" w:rsidRPr="006B3CB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a</w:t>
            </w:r>
            <w:r w:rsidRPr="006B3CB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złotych</w:t>
            </w:r>
            <w:r w:rsidR="00CA1A74" w:rsidRPr="006B3CB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,</w:t>
            </w:r>
            <w:r w:rsidRPr="006B3CB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a portfel osiągną</w:t>
            </w:r>
            <w:r w:rsidR="00CA1A74" w:rsidRPr="006B3CB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ł</w:t>
            </w:r>
            <w:r w:rsidRPr="006B3CB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poziom </w:t>
            </w:r>
            <w:r w:rsidR="008A765A" w:rsidRPr="006B3CB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12,5</w:t>
            </w:r>
            <w:r w:rsidR="004E0543" w:rsidRPr="006B3CB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</w:t>
            </w:r>
            <w:r w:rsidRPr="006B3CB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miliarda złotych</w:t>
            </w:r>
            <w:r w:rsidR="009A2A41" w:rsidRPr="006B3CB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</w:t>
            </w:r>
          </w:p>
          <w:p w14:paraId="22B5F062" w14:textId="184E693C" w:rsidR="00775CAB" w:rsidRPr="006B3CBD" w:rsidRDefault="00775CAB" w:rsidP="007D0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both"/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</w:pPr>
          </w:p>
          <w:p w14:paraId="61886233" w14:textId="77777777" w:rsidR="00C47A3A" w:rsidRPr="006B3CBD" w:rsidRDefault="00C47A3A" w:rsidP="005B039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2390EBF7" w14:textId="254DA1C4" w:rsidR="00145BBB" w:rsidRPr="006B3CBD" w:rsidRDefault="00184033" w:rsidP="005B039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Grupa Budimex wypracowała zysk operacyjny na poziomie </w:t>
            </w:r>
            <w:r w:rsidR="00D96546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417</w:t>
            </w:r>
            <w:r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milionów złotych</w:t>
            </w:r>
            <w:r w:rsidR="004A2737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przy rentowności </w:t>
            </w:r>
            <w:r w:rsidR="00D96546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6,5</w:t>
            </w:r>
            <w:r w:rsidR="004A2737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%, przy czym w pierwszym kwartale bieżącego roku rentowność </w:t>
            </w:r>
            <w:r w:rsidR="00896224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operacyjna </w:t>
            </w:r>
            <w:r w:rsidR="004A2737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osiągnęła poziom 3,6%</w:t>
            </w:r>
            <w:r w:rsidR="00C33D37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</w:t>
            </w:r>
            <w:r w:rsidR="004A2737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a w drugim </w:t>
            </w:r>
            <w:r w:rsidR="00D96546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i trzecim kwartale było to</w:t>
            </w:r>
            <w:r w:rsidR="00C54EB3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już</w:t>
            </w:r>
            <w:r w:rsidR="00D96546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odpowiednio 7,4% oraz 7,7%. </w:t>
            </w:r>
          </w:p>
          <w:p w14:paraId="4F2359A2" w14:textId="77777777" w:rsidR="005030B7" w:rsidRPr="006B3CBD" w:rsidRDefault="005030B7" w:rsidP="005B039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511BAC17" w14:textId="414EBC05" w:rsidR="00DF6A22" w:rsidRPr="006B3CBD" w:rsidRDefault="00DF6A22" w:rsidP="005B039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Zysk brutto Grupy Budimex wyniósł </w:t>
            </w:r>
            <w:r w:rsidR="00D96546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466</w:t>
            </w:r>
            <w:r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milion</w:t>
            </w:r>
            <w:r w:rsidR="00D96546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ów</w:t>
            </w:r>
            <w:r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złotych przy rentowności </w:t>
            </w:r>
            <w:r w:rsidR="00D96546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7,3</w:t>
            </w:r>
            <w:r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%</w:t>
            </w:r>
            <w:r w:rsidR="006C0DB9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. </w:t>
            </w:r>
            <w:r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Rentowność na poziomie zysku brutto wspierana </w:t>
            </w:r>
            <w:r w:rsidR="00B31685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była</w:t>
            </w:r>
            <w:r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przez znaczną poprawę wyniku na działalności finansowej</w:t>
            </w:r>
            <w:r w:rsidR="00D96546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 szczególnie w drugim i trzecim kwartale</w:t>
            </w:r>
            <w:r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, co jest efektem wzrostu średniego poziomu oprocentowania </w:t>
            </w:r>
            <w:r w:rsidR="00456600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środków pieniężnych</w:t>
            </w:r>
            <w:r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lokowan</w:t>
            </w:r>
            <w:r w:rsidR="006C0DB9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ych</w:t>
            </w:r>
            <w:r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przez Grupę Budimex. </w:t>
            </w:r>
          </w:p>
          <w:p w14:paraId="46CFCE66" w14:textId="77777777" w:rsidR="006C0DB9" w:rsidRPr="006B3CBD" w:rsidRDefault="006C0DB9" w:rsidP="005B039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61C2744A" w14:textId="77777777" w:rsidR="00D96546" w:rsidRPr="006B3CBD" w:rsidRDefault="00D96546" w:rsidP="005B039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47448682" w14:textId="33913759" w:rsidR="00EF28BA" w:rsidRPr="006B3CBD" w:rsidRDefault="00FD14F3" w:rsidP="005B039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  <w:highlight w:val="yellow"/>
              </w:rPr>
            </w:pPr>
            <w:r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  <w:highlight w:val="yellow"/>
              </w:rPr>
              <w:t xml:space="preserve"> </w:t>
            </w:r>
          </w:p>
          <w:p w14:paraId="65051404" w14:textId="0FC72B6B" w:rsidR="00BA17E4" w:rsidRPr="006B3CBD" w:rsidRDefault="00BA17E4" w:rsidP="005B039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  <w:highlight w:val="yellow"/>
              </w:rPr>
            </w:pPr>
          </w:p>
          <w:p w14:paraId="66D95B6B" w14:textId="3298E9D0" w:rsidR="00BA17E4" w:rsidRPr="006B3CBD" w:rsidRDefault="00BA17E4" w:rsidP="005B039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  <w:highlight w:val="yellow"/>
              </w:rPr>
            </w:pPr>
          </w:p>
          <w:p w14:paraId="2F4EAE4D" w14:textId="57831C72" w:rsidR="00BA17E4" w:rsidRPr="006B3CBD" w:rsidRDefault="00BA17E4" w:rsidP="005B039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  <w:highlight w:val="yellow"/>
              </w:rPr>
            </w:pPr>
          </w:p>
          <w:p w14:paraId="5BE726B7" w14:textId="77777777" w:rsidR="00BA17E4" w:rsidRPr="006B3CBD" w:rsidRDefault="00BA17E4" w:rsidP="005B039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  <w:highlight w:val="yellow"/>
              </w:rPr>
            </w:pPr>
          </w:p>
          <w:p w14:paraId="5805A72A" w14:textId="1D3E380D" w:rsidR="00221758" w:rsidRPr="006B3CBD" w:rsidRDefault="00221758" w:rsidP="00107A4A">
            <w:pPr>
              <w:spacing w:line="360" w:lineRule="auto"/>
              <w:jc w:val="center"/>
              <w:rPr>
                <w:rFonts w:ascii="Tahoma" w:eastAsia="Tahoma" w:hAnsi="Tahoma" w:cs="Tahoma"/>
                <w:color w:val="808080"/>
                <w:sz w:val="18"/>
                <w:szCs w:val="18"/>
                <w:highlight w:val="yellow"/>
              </w:rPr>
            </w:pPr>
          </w:p>
          <w:tbl>
            <w:tblPr>
              <w:tblW w:w="744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42"/>
              <w:gridCol w:w="1420"/>
              <w:gridCol w:w="1440"/>
              <w:gridCol w:w="1240"/>
            </w:tblGrid>
            <w:tr w:rsidR="00A477E4" w:rsidRPr="006B3CBD" w14:paraId="2194040A" w14:textId="77777777" w:rsidTr="00A477E4">
              <w:trPr>
                <w:trHeight w:val="349"/>
              </w:trPr>
              <w:tc>
                <w:tcPr>
                  <w:tcW w:w="3342" w:type="dxa"/>
                  <w:vMerge w:val="restart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nil"/>
                  </w:tcBorders>
                  <w:shd w:val="clear" w:color="000000" w:fill="595959"/>
                  <w:vAlign w:val="center"/>
                  <w:hideMark/>
                </w:tcPr>
                <w:p w14:paraId="658F9769" w14:textId="77777777" w:rsidR="00A477E4" w:rsidRPr="006B3CBD" w:rsidRDefault="00A477E4" w:rsidP="00A477E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F2F2F2"/>
                    </w:rPr>
                  </w:pPr>
                  <w:r w:rsidRPr="006B3CBD">
                    <w:rPr>
                      <w:rFonts w:ascii="Tahoma" w:eastAsia="Times New Roman" w:hAnsi="Tahoma" w:cs="Tahoma"/>
                      <w:b/>
                      <w:bCs/>
                      <w:color w:val="F2F2F2"/>
                    </w:rPr>
                    <w:lastRenderedPageBreak/>
                    <w:t>Grupa Budimex</w:t>
                  </w:r>
                  <w:r w:rsidRPr="006B3CBD">
                    <w:rPr>
                      <w:rFonts w:ascii="Tahoma" w:eastAsia="Times New Roman" w:hAnsi="Tahoma" w:cs="Tahoma"/>
                      <w:b/>
                      <w:bCs/>
                      <w:color w:val="F2F2F2"/>
                    </w:rPr>
                    <w:br/>
                    <w:t>(mln zł.)</w:t>
                  </w:r>
                </w:p>
              </w:tc>
              <w:tc>
                <w:tcPr>
                  <w:tcW w:w="41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14:paraId="50B096BF" w14:textId="77777777" w:rsidR="00A477E4" w:rsidRPr="006B3CBD" w:rsidRDefault="00A477E4" w:rsidP="00A477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6B3CBD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Rachunek zysków i strat</w:t>
                  </w:r>
                </w:p>
              </w:tc>
            </w:tr>
            <w:tr w:rsidR="00A477E4" w:rsidRPr="006B3CBD" w14:paraId="3CA11EB4" w14:textId="77777777" w:rsidTr="00A477E4">
              <w:trPr>
                <w:trHeight w:val="540"/>
              </w:trPr>
              <w:tc>
                <w:tcPr>
                  <w:tcW w:w="3342" w:type="dxa"/>
                  <w:vMerge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466BC7A1" w14:textId="77777777" w:rsidR="00A477E4" w:rsidRPr="006B3CBD" w:rsidRDefault="00A477E4" w:rsidP="00A477E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F2F2F2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14:paraId="2FD636B8" w14:textId="77777777" w:rsidR="00A477E4" w:rsidRPr="006B3CBD" w:rsidRDefault="00A477E4" w:rsidP="00A477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6B3CBD">
                    <w:rPr>
                      <w:rFonts w:ascii="Tahoma" w:eastAsia="Times New Roman" w:hAnsi="Tahoma" w:cs="Tahoma"/>
                      <w:color w:val="000000"/>
                    </w:rPr>
                    <w:t>1-3 kw. 2022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14:paraId="47FDF268" w14:textId="77777777" w:rsidR="00A477E4" w:rsidRPr="006B3CBD" w:rsidRDefault="00A477E4" w:rsidP="00A477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6B3CBD">
                    <w:rPr>
                      <w:rFonts w:ascii="Tahoma" w:eastAsia="Times New Roman" w:hAnsi="Tahoma" w:cs="Tahoma"/>
                      <w:color w:val="000000"/>
                    </w:rPr>
                    <w:t>1-3 kw. 2021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14:paraId="74495725" w14:textId="77777777" w:rsidR="00A477E4" w:rsidRPr="006B3CBD" w:rsidRDefault="00A477E4" w:rsidP="00A477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6B3CBD">
                    <w:rPr>
                      <w:rFonts w:ascii="Tahoma" w:eastAsia="Times New Roman" w:hAnsi="Tahoma" w:cs="Tahoma"/>
                      <w:color w:val="000000"/>
                    </w:rPr>
                    <w:t>r/r</w:t>
                  </w:r>
                </w:p>
              </w:tc>
            </w:tr>
            <w:tr w:rsidR="00A477E4" w:rsidRPr="006B3CBD" w14:paraId="0C5D0B0C" w14:textId="77777777" w:rsidTr="00A477E4">
              <w:trPr>
                <w:trHeight w:val="420"/>
              </w:trPr>
              <w:tc>
                <w:tcPr>
                  <w:tcW w:w="3342" w:type="dxa"/>
                  <w:tcBorders>
                    <w:top w:val="nil"/>
                    <w:left w:val="single" w:sz="8" w:space="0" w:color="FFC000"/>
                    <w:bottom w:val="single" w:sz="8" w:space="0" w:color="auto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14:paraId="0C23A766" w14:textId="77777777" w:rsidR="00A477E4" w:rsidRPr="006B3CBD" w:rsidRDefault="00A477E4" w:rsidP="00A477E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6B3CBD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Sprzedaż</w:t>
                  </w:r>
                </w:p>
              </w:tc>
              <w:tc>
                <w:tcPr>
                  <w:tcW w:w="142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14:paraId="4ED9BCE2" w14:textId="77777777" w:rsidR="00A477E4" w:rsidRPr="006B3CBD" w:rsidRDefault="00A477E4" w:rsidP="00A477E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6B3CBD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6 368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14:paraId="12301939" w14:textId="77777777" w:rsidR="00A477E4" w:rsidRPr="006B3CBD" w:rsidRDefault="00A477E4" w:rsidP="00A477E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6B3CBD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5 534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FFC000"/>
                  </w:tcBorders>
                  <w:shd w:val="clear" w:color="000000" w:fill="FFC000"/>
                  <w:noWrap/>
                  <w:vAlign w:val="center"/>
                  <w:hideMark/>
                </w:tcPr>
                <w:p w14:paraId="5A44617E" w14:textId="77777777" w:rsidR="00A477E4" w:rsidRPr="006B3CBD" w:rsidRDefault="00A477E4" w:rsidP="00A477E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6B3CBD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15,1%</w:t>
                  </w:r>
                </w:p>
              </w:tc>
            </w:tr>
            <w:tr w:rsidR="00A477E4" w:rsidRPr="006B3CBD" w14:paraId="7FFBB555" w14:textId="77777777" w:rsidTr="00A477E4">
              <w:trPr>
                <w:trHeight w:val="420"/>
              </w:trPr>
              <w:tc>
                <w:tcPr>
                  <w:tcW w:w="3342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687D90E4" w14:textId="77777777" w:rsidR="00A477E4" w:rsidRPr="006B3CBD" w:rsidRDefault="00A477E4" w:rsidP="00A477E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6B3CBD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Zysk operacyjny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42C6A3F" w14:textId="77777777" w:rsidR="00A477E4" w:rsidRPr="006B3CBD" w:rsidRDefault="00A477E4" w:rsidP="00A477E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6B3CBD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417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26F4D08D" w14:textId="77777777" w:rsidR="00A477E4" w:rsidRPr="006B3CBD" w:rsidRDefault="00A477E4" w:rsidP="00A477E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6B3CBD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416</w:t>
                  </w: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8F166A6" w14:textId="77777777" w:rsidR="00A477E4" w:rsidRPr="006B3CBD" w:rsidRDefault="00A477E4" w:rsidP="00A477E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6B3CBD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0,1%</w:t>
                  </w:r>
                </w:p>
              </w:tc>
            </w:tr>
            <w:tr w:rsidR="00A477E4" w:rsidRPr="006B3CBD" w14:paraId="23E48BD7" w14:textId="77777777" w:rsidTr="00A477E4">
              <w:trPr>
                <w:trHeight w:val="252"/>
              </w:trPr>
              <w:tc>
                <w:tcPr>
                  <w:tcW w:w="3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76688592" w14:textId="77777777" w:rsidR="00A477E4" w:rsidRPr="006B3CBD" w:rsidRDefault="00A477E4" w:rsidP="00A477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6B3CBD">
                    <w:rPr>
                      <w:rFonts w:ascii="Tahoma" w:eastAsia="Times New Roman" w:hAnsi="Tahoma" w:cs="Tahoma"/>
                      <w:color w:val="404040"/>
                    </w:rPr>
                    <w:t>% sprzedaży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22D93072" w14:textId="77777777" w:rsidR="00A477E4" w:rsidRPr="006B3CBD" w:rsidRDefault="00A477E4" w:rsidP="00A477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6B3CBD">
                    <w:rPr>
                      <w:rFonts w:ascii="Tahoma" w:eastAsia="Times New Roman" w:hAnsi="Tahoma" w:cs="Tahoma"/>
                      <w:color w:val="404040"/>
                    </w:rPr>
                    <w:t>6,5%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1244961" w14:textId="77777777" w:rsidR="00A477E4" w:rsidRPr="006B3CBD" w:rsidRDefault="00A477E4" w:rsidP="00A477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6B3CBD">
                    <w:rPr>
                      <w:rFonts w:ascii="Tahoma" w:eastAsia="Times New Roman" w:hAnsi="Tahoma" w:cs="Tahoma"/>
                      <w:color w:val="404040"/>
                    </w:rPr>
                    <w:t>7,5%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681FB80C" w14:textId="77777777" w:rsidR="00A477E4" w:rsidRPr="006B3CBD" w:rsidRDefault="00A477E4" w:rsidP="00A477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6B3CBD">
                    <w:rPr>
                      <w:rFonts w:ascii="Tahoma" w:eastAsia="Times New Roman" w:hAnsi="Tahoma" w:cs="Tahoma"/>
                      <w:color w:val="404040"/>
                    </w:rPr>
                    <w:t>-1,0% pp.</w:t>
                  </w:r>
                </w:p>
              </w:tc>
            </w:tr>
            <w:tr w:rsidR="00A477E4" w:rsidRPr="006B3CBD" w14:paraId="0D1086A7" w14:textId="77777777" w:rsidTr="00A477E4">
              <w:trPr>
                <w:trHeight w:val="420"/>
              </w:trPr>
              <w:tc>
                <w:tcPr>
                  <w:tcW w:w="3342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1D57021" w14:textId="77777777" w:rsidR="00A477E4" w:rsidRPr="006B3CBD" w:rsidRDefault="00A477E4" w:rsidP="00A477E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6B3CBD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Zysk brutto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443B5E3B" w14:textId="77777777" w:rsidR="00A477E4" w:rsidRPr="006B3CBD" w:rsidRDefault="00A477E4" w:rsidP="00A477E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6B3CBD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466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49AD8C6" w14:textId="77777777" w:rsidR="00A477E4" w:rsidRPr="006B3CBD" w:rsidRDefault="00A477E4" w:rsidP="00A477E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6B3CBD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389</w:t>
                  </w: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37AE784" w14:textId="77777777" w:rsidR="00A477E4" w:rsidRPr="006B3CBD" w:rsidRDefault="00A477E4" w:rsidP="00A477E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6B3CBD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19,8%</w:t>
                  </w:r>
                </w:p>
              </w:tc>
            </w:tr>
            <w:tr w:rsidR="00A477E4" w:rsidRPr="006B3CBD" w14:paraId="2951B25A" w14:textId="77777777" w:rsidTr="00A477E4">
              <w:trPr>
                <w:trHeight w:val="252"/>
              </w:trPr>
              <w:tc>
                <w:tcPr>
                  <w:tcW w:w="3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4E0A6406" w14:textId="77777777" w:rsidR="00A477E4" w:rsidRPr="006B3CBD" w:rsidRDefault="00A477E4" w:rsidP="00A477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6B3CBD">
                    <w:rPr>
                      <w:rFonts w:ascii="Tahoma" w:eastAsia="Times New Roman" w:hAnsi="Tahoma" w:cs="Tahoma"/>
                      <w:color w:val="404040"/>
                    </w:rPr>
                    <w:t>% sprzedaży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7FAC0C39" w14:textId="77777777" w:rsidR="00A477E4" w:rsidRPr="006B3CBD" w:rsidRDefault="00A477E4" w:rsidP="00A477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6B3CBD">
                    <w:rPr>
                      <w:rFonts w:ascii="Tahoma" w:eastAsia="Times New Roman" w:hAnsi="Tahoma" w:cs="Tahoma"/>
                      <w:color w:val="404040"/>
                    </w:rPr>
                    <w:t>7,3%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65DE2F1" w14:textId="77777777" w:rsidR="00A477E4" w:rsidRPr="006B3CBD" w:rsidRDefault="00A477E4" w:rsidP="00A477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6B3CBD">
                    <w:rPr>
                      <w:rFonts w:ascii="Tahoma" w:eastAsia="Times New Roman" w:hAnsi="Tahoma" w:cs="Tahoma"/>
                      <w:color w:val="404040"/>
                    </w:rPr>
                    <w:t>7,0%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5AD7F152" w14:textId="77777777" w:rsidR="00A477E4" w:rsidRPr="006B3CBD" w:rsidRDefault="00A477E4" w:rsidP="00A477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6B3CBD">
                    <w:rPr>
                      <w:rFonts w:ascii="Tahoma" w:eastAsia="Times New Roman" w:hAnsi="Tahoma" w:cs="Tahoma"/>
                      <w:color w:val="404040"/>
                    </w:rPr>
                    <w:t>0,3% pp.</w:t>
                  </w:r>
                </w:p>
              </w:tc>
            </w:tr>
            <w:tr w:rsidR="00A477E4" w:rsidRPr="006B3CBD" w14:paraId="0B5398C7" w14:textId="77777777" w:rsidTr="00A477E4">
              <w:trPr>
                <w:trHeight w:val="525"/>
              </w:trPr>
              <w:tc>
                <w:tcPr>
                  <w:tcW w:w="3342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2F2F2"/>
                  <w:vAlign w:val="center"/>
                  <w:hideMark/>
                </w:tcPr>
                <w:p w14:paraId="3E33FF30" w14:textId="77777777" w:rsidR="00A477E4" w:rsidRPr="006B3CBD" w:rsidRDefault="00A477E4" w:rsidP="00A477E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6B3CBD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 xml:space="preserve">Zysk netto* </w:t>
                  </w:r>
                  <w:r w:rsidRPr="006B3CBD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br/>
                  </w:r>
                  <w:r w:rsidRPr="006B3CBD">
                    <w:rPr>
                      <w:rFonts w:ascii="Tahoma" w:eastAsia="Times New Roman" w:hAnsi="Tahoma" w:cs="Tahoma"/>
                      <w:color w:val="404040"/>
                      <w:sz w:val="16"/>
                      <w:szCs w:val="16"/>
                    </w:rPr>
                    <w:t>z działalności kontynuowanej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6BD19BC4" w14:textId="77777777" w:rsidR="00A477E4" w:rsidRPr="006B3CBD" w:rsidRDefault="00A477E4" w:rsidP="00A477E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6B3CBD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359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6351AB68" w14:textId="77777777" w:rsidR="00A477E4" w:rsidRPr="006B3CBD" w:rsidRDefault="00A477E4" w:rsidP="00A477E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6B3CBD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302</w:t>
                  </w: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4F29A2B3" w14:textId="77777777" w:rsidR="00A477E4" w:rsidRPr="006B3CBD" w:rsidRDefault="00A477E4" w:rsidP="00A477E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6B3CBD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18,8%</w:t>
                  </w:r>
                </w:p>
              </w:tc>
            </w:tr>
            <w:tr w:rsidR="00A477E4" w:rsidRPr="006B3CBD" w14:paraId="51174F51" w14:textId="77777777" w:rsidTr="00A477E4">
              <w:trPr>
                <w:trHeight w:val="252"/>
              </w:trPr>
              <w:tc>
                <w:tcPr>
                  <w:tcW w:w="3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2118C56A" w14:textId="77777777" w:rsidR="00A477E4" w:rsidRPr="006B3CBD" w:rsidRDefault="00A477E4" w:rsidP="00A477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6B3CBD">
                    <w:rPr>
                      <w:rFonts w:ascii="Tahoma" w:eastAsia="Times New Roman" w:hAnsi="Tahoma" w:cs="Tahoma"/>
                      <w:color w:val="404040"/>
                    </w:rPr>
                    <w:t>% sprzedaży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4E5A330C" w14:textId="77777777" w:rsidR="00A477E4" w:rsidRPr="006B3CBD" w:rsidRDefault="00A477E4" w:rsidP="00A477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6B3CBD">
                    <w:rPr>
                      <w:rFonts w:ascii="Tahoma" w:eastAsia="Times New Roman" w:hAnsi="Tahoma" w:cs="Tahoma"/>
                      <w:color w:val="404040"/>
                    </w:rPr>
                    <w:t>5,6%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75652E65" w14:textId="77777777" w:rsidR="00A477E4" w:rsidRPr="006B3CBD" w:rsidRDefault="00A477E4" w:rsidP="00A477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6B3CBD">
                    <w:rPr>
                      <w:rFonts w:ascii="Tahoma" w:eastAsia="Times New Roman" w:hAnsi="Tahoma" w:cs="Tahoma"/>
                      <w:color w:val="404040"/>
                    </w:rPr>
                    <w:t>5,5%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45B1CD21" w14:textId="77777777" w:rsidR="00A477E4" w:rsidRPr="006B3CBD" w:rsidRDefault="00A477E4" w:rsidP="00A477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6B3CBD">
                    <w:rPr>
                      <w:rFonts w:ascii="Tahoma" w:eastAsia="Times New Roman" w:hAnsi="Tahoma" w:cs="Tahoma"/>
                      <w:color w:val="404040"/>
                    </w:rPr>
                    <w:t>0,2% pp.</w:t>
                  </w:r>
                </w:p>
              </w:tc>
            </w:tr>
            <w:tr w:rsidR="00A477E4" w:rsidRPr="006B3CBD" w14:paraId="3A76F42C" w14:textId="77777777" w:rsidTr="00A477E4">
              <w:trPr>
                <w:trHeight w:val="255"/>
              </w:trPr>
              <w:tc>
                <w:tcPr>
                  <w:tcW w:w="3342" w:type="dxa"/>
                  <w:tcBorders>
                    <w:top w:val="single" w:sz="4" w:space="0" w:color="000000"/>
                    <w:left w:val="single" w:sz="4" w:space="0" w:color="FFFFFF"/>
                    <w:bottom w:val="nil"/>
                    <w:right w:val="single" w:sz="4" w:space="0" w:color="FFFFFF"/>
                  </w:tcBorders>
                  <w:shd w:val="clear" w:color="auto" w:fill="auto"/>
                  <w:noWrap/>
                  <w:hideMark/>
                </w:tcPr>
                <w:p w14:paraId="064AB896" w14:textId="77777777" w:rsidR="00A477E4" w:rsidRPr="006B3CBD" w:rsidRDefault="00A477E4" w:rsidP="00A477E4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14"/>
                      <w:szCs w:val="14"/>
                    </w:rPr>
                  </w:pPr>
                  <w:r w:rsidRPr="006B3CBD"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14"/>
                      <w:szCs w:val="14"/>
                    </w:rPr>
                    <w:t>*przypadający akcjonariuszom Jednostki Dominującej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FFFFFF"/>
                  </w:tcBorders>
                  <w:shd w:val="clear" w:color="auto" w:fill="auto"/>
                  <w:noWrap/>
                  <w:vAlign w:val="center"/>
                  <w:hideMark/>
                </w:tcPr>
                <w:p w14:paraId="7B980404" w14:textId="77777777" w:rsidR="00A477E4" w:rsidRPr="006B3CBD" w:rsidRDefault="00A477E4" w:rsidP="00A477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6B3CBD">
                    <w:rPr>
                      <w:rFonts w:ascii="Tahoma" w:eastAsia="Times New Roman" w:hAnsi="Tahoma" w:cs="Tahoma"/>
                      <w:color w:val="40404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FFFFFF"/>
                  </w:tcBorders>
                  <w:shd w:val="clear" w:color="auto" w:fill="auto"/>
                  <w:noWrap/>
                  <w:vAlign w:val="center"/>
                  <w:hideMark/>
                </w:tcPr>
                <w:p w14:paraId="11DF1022" w14:textId="77777777" w:rsidR="00A477E4" w:rsidRPr="006B3CBD" w:rsidRDefault="00A477E4" w:rsidP="00A477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6B3CBD">
                    <w:rPr>
                      <w:rFonts w:ascii="Tahoma" w:eastAsia="Times New Roman" w:hAnsi="Tahoma" w:cs="Tahoma"/>
                      <w:color w:val="404040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FFFFFF"/>
                  </w:tcBorders>
                  <w:shd w:val="clear" w:color="auto" w:fill="auto"/>
                  <w:noWrap/>
                  <w:vAlign w:val="center"/>
                  <w:hideMark/>
                </w:tcPr>
                <w:p w14:paraId="357A9370" w14:textId="77777777" w:rsidR="00A477E4" w:rsidRPr="006B3CBD" w:rsidRDefault="00A477E4" w:rsidP="00A477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6B3CBD">
                    <w:rPr>
                      <w:rFonts w:ascii="Tahoma" w:eastAsia="Times New Roman" w:hAnsi="Tahoma" w:cs="Tahoma"/>
                      <w:color w:val="404040"/>
                    </w:rPr>
                    <w:t> </w:t>
                  </w:r>
                </w:p>
              </w:tc>
            </w:tr>
            <w:tr w:rsidR="00A477E4" w:rsidRPr="006B3CBD" w14:paraId="1131AAD7" w14:textId="77777777" w:rsidTr="00A477E4">
              <w:trPr>
                <w:trHeight w:val="255"/>
              </w:trPr>
              <w:tc>
                <w:tcPr>
                  <w:tcW w:w="3342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0821694" w14:textId="77777777" w:rsidR="00A477E4" w:rsidRPr="006B3CBD" w:rsidRDefault="00A477E4" w:rsidP="00A477E4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</w:pPr>
                  <w:r w:rsidRPr="006B3CBD"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  <w:t>działalność zaniechana</w:t>
                  </w:r>
                </w:p>
              </w:tc>
              <w:tc>
                <w:tcPr>
                  <w:tcW w:w="1420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9A8D009" w14:textId="77777777" w:rsidR="00A477E4" w:rsidRPr="006B3CBD" w:rsidRDefault="00A477E4" w:rsidP="00A477E4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color w:val="404040"/>
                    </w:rPr>
                  </w:pPr>
                  <w:r w:rsidRPr="006B3CBD">
                    <w:rPr>
                      <w:rFonts w:ascii="Tahoma" w:eastAsia="Times New Roman" w:hAnsi="Tahoma" w:cs="Tahoma"/>
                      <w:i/>
                      <w:iCs/>
                      <w:color w:val="404040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7C419972" w14:textId="77777777" w:rsidR="00A477E4" w:rsidRPr="006B3CBD" w:rsidRDefault="00A477E4" w:rsidP="00A477E4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color w:val="404040"/>
                    </w:rPr>
                  </w:pPr>
                  <w:r w:rsidRPr="006B3CBD">
                    <w:rPr>
                      <w:rFonts w:ascii="Tahoma" w:eastAsia="Times New Roman" w:hAnsi="Tahoma" w:cs="Tahoma"/>
                      <w:i/>
                      <w:iCs/>
                      <w:color w:val="404040"/>
                    </w:rPr>
                    <w:t>521</w:t>
                  </w:r>
                </w:p>
              </w:tc>
              <w:tc>
                <w:tcPr>
                  <w:tcW w:w="1240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7BA8AE3F" w14:textId="77777777" w:rsidR="00A477E4" w:rsidRPr="006B3CBD" w:rsidRDefault="00A477E4" w:rsidP="00A477E4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color w:val="404040"/>
                    </w:rPr>
                  </w:pPr>
                  <w:r w:rsidRPr="006B3CBD">
                    <w:rPr>
                      <w:rFonts w:ascii="Tahoma" w:eastAsia="Times New Roman" w:hAnsi="Tahoma" w:cs="Tahoma"/>
                      <w:i/>
                      <w:iCs/>
                      <w:color w:val="404040"/>
                    </w:rPr>
                    <w:t>n/a</w:t>
                  </w:r>
                </w:p>
              </w:tc>
            </w:tr>
          </w:tbl>
          <w:p w14:paraId="5D2626B0" w14:textId="78569F8E" w:rsidR="00A77BCF" w:rsidRPr="006B3CBD" w:rsidRDefault="00A77BCF" w:rsidP="00107A4A">
            <w:pPr>
              <w:spacing w:line="360" w:lineRule="auto"/>
              <w:jc w:val="center"/>
              <w:rPr>
                <w:rFonts w:ascii="Tahoma" w:eastAsia="Tahoma" w:hAnsi="Tahoma" w:cs="Tahoma"/>
                <w:color w:val="808080"/>
                <w:sz w:val="18"/>
                <w:szCs w:val="18"/>
                <w:highlight w:val="yellow"/>
              </w:rPr>
            </w:pPr>
          </w:p>
          <w:p w14:paraId="56892A2B" w14:textId="5D7B0323" w:rsidR="00BF116E" w:rsidRPr="006B3CBD" w:rsidRDefault="00D96546" w:rsidP="00BF116E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bookmarkStart w:id="0" w:name="_Hlk116487710"/>
            <w:r w:rsidRPr="006B3CBD">
              <w:rPr>
                <w:rFonts w:ascii="Tahoma" w:eastAsia="Tahoma" w:hAnsi="Tahoma" w:cs="Tahoma"/>
                <w:color w:val="808080"/>
                <w:sz w:val="18"/>
                <w:szCs w:val="18"/>
              </w:rPr>
              <w:t>Grupa Budimex</w:t>
            </w:r>
            <w:r w:rsidR="00CE063A" w:rsidRPr="006B3CBD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</w:t>
            </w:r>
            <w:r w:rsidRPr="006B3CBD">
              <w:rPr>
                <w:rFonts w:ascii="Tahoma" w:eastAsia="Tahoma" w:hAnsi="Tahoma" w:cs="Tahoma"/>
                <w:color w:val="808080"/>
                <w:sz w:val="18"/>
                <w:szCs w:val="18"/>
              </w:rPr>
              <w:t>notuje wzrost</w:t>
            </w:r>
            <w:r w:rsidR="00FD14F3" w:rsidRPr="006B3CBD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przychodów ze sprzedaży Grupy</w:t>
            </w:r>
            <w:r w:rsidR="00A477E4" w:rsidRPr="006B3CBD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na poziomie </w:t>
            </w:r>
            <w:r w:rsidRPr="006B3CBD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15,1%</w:t>
            </w:r>
            <w:r w:rsidR="00CE063A" w:rsidRPr="006B3CBD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, głównie dzięki większej skali realizowanej sprzedaży </w:t>
            </w:r>
            <w:r w:rsidR="00CF57E7" w:rsidRPr="006B3CBD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w </w:t>
            </w:r>
            <w:r w:rsidR="006C0DB9" w:rsidRPr="006B3CBD">
              <w:rPr>
                <w:rFonts w:ascii="Tahoma" w:eastAsia="Tahoma" w:hAnsi="Tahoma" w:cs="Tahoma"/>
                <w:color w:val="808080"/>
                <w:sz w:val="18"/>
                <w:szCs w:val="18"/>
              </w:rPr>
              <w:t>segmencie budowlanym, w</w:t>
            </w:r>
            <w:r w:rsidR="00405427" w:rsidRPr="006B3CBD">
              <w:rPr>
                <w:rFonts w:ascii="Tahoma" w:eastAsia="Tahoma" w:hAnsi="Tahoma" w:cs="Tahoma"/>
                <w:color w:val="808080"/>
                <w:sz w:val="18"/>
                <w:szCs w:val="18"/>
              </w:rPr>
              <w:t> </w:t>
            </w:r>
            <w:r w:rsidR="006C0DB9" w:rsidRPr="006B3CBD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szczególności w obszarze budownictwa </w:t>
            </w:r>
            <w:r w:rsidR="00FF61D8" w:rsidRPr="006B3CBD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kubaturowego </w:t>
            </w:r>
            <w:r w:rsidR="006C0DB9" w:rsidRPr="006B3CBD">
              <w:rPr>
                <w:rFonts w:ascii="Tahoma" w:eastAsia="Tahoma" w:hAnsi="Tahoma" w:cs="Tahoma"/>
                <w:color w:val="808080"/>
                <w:sz w:val="18"/>
                <w:szCs w:val="18"/>
              </w:rPr>
              <w:t>oraz w spółce Mostostal Kraków.</w:t>
            </w:r>
            <w:r w:rsidR="00CE063A" w:rsidRPr="006B3CBD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</w:t>
            </w:r>
            <w:r w:rsidR="00C21BFC" w:rsidRPr="006B3CBD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W części usługowej przychody były zbliżone do </w:t>
            </w:r>
            <w:r w:rsidR="00B6783C" w:rsidRPr="006B3CBD">
              <w:rPr>
                <w:rFonts w:ascii="Tahoma" w:eastAsia="Tahoma" w:hAnsi="Tahoma" w:cs="Tahoma"/>
                <w:color w:val="808080"/>
                <w:sz w:val="18"/>
                <w:szCs w:val="18"/>
              </w:rPr>
              <w:t>roku ubiegłego</w:t>
            </w:r>
            <w:r w:rsidR="00C21BFC" w:rsidRPr="006B3CBD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. </w:t>
            </w:r>
            <w:r w:rsidR="00CE063A" w:rsidRPr="006B3CBD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</w:t>
            </w:r>
          </w:p>
          <w:bookmarkEnd w:id="0"/>
          <w:p w14:paraId="1B6D913E" w14:textId="6449E6D8" w:rsidR="00712B2C" w:rsidRPr="006B3CBD" w:rsidRDefault="007143D6" w:rsidP="00775CA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  <w:highlight w:val="yellow"/>
              </w:rPr>
              <w:br/>
            </w:r>
            <w:r w:rsidR="00EC76D5" w:rsidRPr="006B3CB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P</w:t>
            </w:r>
            <w:r w:rsidR="00775CAB" w:rsidRPr="006B3CB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rodukcja budowlano-montażowa </w:t>
            </w:r>
            <w:r w:rsidR="00326202" w:rsidRPr="006B3CB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w Polsce </w:t>
            </w:r>
            <w:r w:rsidR="00CF7695" w:rsidRPr="006B3CB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za trzy kwartały</w:t>
            </w:r>
            <w:r w:rsidR="00C21BFC" w:rsidRPr="006B3CB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</w:t>
            </w:r>
            <w:r w:rsidR="00EC76D5" w:rsidRPr="006B3CB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202</w:t>
            </w:r>
            <w:r w:rsidR="00C21BFC" w:rsidRPr="006B3CB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2</w:t>
            </w:r>
            <w:r w:rsidR="00EC76D5" w:rsidRPr="006B3CB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roku</w:t>
            </w:r>
            <w:r w:rsidR="00E50E54" w:rsidRPr="006B3CB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</w:t>
            </w:r>
            <w:r w:rsidR="00775CAB" w:rsidRPr="006B3CBD">
              <w:rPr>
                <w:rFonts w:ascii="Tahoma" w:eastAsia="Tahoma" w:hAnsi="Tahoma" w:cs="Tahoma"/>
                <w:color w:val="808080"/>
                <w:sz w:val="18"/>
                <w:szCs w:val="18"/>
              </w:rPr>
              <w:t>(w</w:t>
            </w:r>
            <w:r w:rsidR="00CF7695" w:rsidRPr="006B3CBD">
              <w:t> </w:t>
            </w:r>
            <w:r w:rsidR="00775CAB" w:rsidRPr="006B3CBD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cenach bieżących)</w:t>
            </w:r>
            <w:r w:rsidR="00775CAB" w:rsidRPr="006B3CB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</w:t>
            </w:r>
            <w:r w:rsidR="00EC76D5" w:rsidRPr="006B3CB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wzrosła rok do roku o </w:t>
            </w:r>
            <w:r w:rsidR="00CF7695" w:rsidRPr="006B3CB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22</w:t>
            </w:r>
            <w:r w:rsidR="00DB1CB7" w:rsidRPr="006B3CB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,</w:t>
            </w:r>
            <w:r w:rsidR="00CF7695" w:rsidRPr="006B3CB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2</w:t>
            </w:r>
            <w:r w:rsidR="00DB1CB7" w:rsidRPr="006B3CB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%</w:t>
            </w:r>
            <w:r w:rsidR="00EC76D5" w:rsidRPr="006B3CBD">
              <w:rPr>
                <w:rFonts w:ascii="Tahoma" w:eastAsia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="00EC76D5" w:rsidRPr="006B3CB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z poziomu </w:t>
            </w:r>
            <w:r w:rsidR="00CF7695" w:rsidRPr="006B3CB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77</w:t>
            </w:r>
            <w:r w:rsidR="00DB1CB7" w:rsidRPr="006B3CB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,4</w:t>
            </w:r>
            <w:r w:rsidR="00EC76D5" w:rsidRPr="006B3CB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</w:t>
            </w:r>
            <w:r w:rsidR="00405427" w:rsidRPr="006B3CB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m</w:t>
            </w:r>
            <w:r w:rsidR="00405427" w:rsidRPr="006B3CB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ld</w:t>
            </w:r>
            <w:r w:rsidR="00405427" w:rsidRPr="006B3CB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</w:t>
            </w:r>
            <w:r w:rsidR="00EC76D5" w:rsidRPr="006B3CB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złotych</w:t>
            </w:r>
            <w:r w:rsidR="00F87957" w:rsidRPr="006B3CB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</w:t>
            </w:r>
            <w:r w:rsidR="00CF7695" w:rsidRPr="006B3CB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w roku 2021 </w:t>
            </w:r>
            <w:r w:rsidR="00EC76D5" w:rsidRPr="006B3CB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do</w:t>
            </w:r>
            <w:r w:rsidR="002A6649" w:rsidRPr="006B3CB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</w:t>
            </w:r>
            <w:r w:rsidR="00CF7695" w:rsidRPr="006B3CB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94</w:t>
            </w:r>
            <w:r w:rsidR="00DB1CB7" w:rsidRPr="006B3CB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,5</w:t>
            </w:r>
            <w:r w:rsidR="00EF26DC" w:rsidRPr="006B3CB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</w:t>
            </w:r>
            <w:r w:rsidR="00405427" w:rsidRPr="006B3CB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m</w:t>
            </w:r>
            <w:r w:rsidR="00405427" w:rsidRPr="006B3CB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ld</w:t>
            </w:r>
            <w:r w:rsidR="00405427" w:rsidRPr="006B3CB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</w:t>
            </w:r>
            <w:r w:rsidR="0080729F" w:rsidRPr="006B3CB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złotych</w:t>
            </w:r>
            <w:r w:rsidR="00CF7695" w:rsidRPr="006B3CB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w 2022</w:t>
            </w:r>
            <w:r w:rsidR="00775CAB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.</w:t>
            </w:r>
            <w:r w:rsidR="00F87957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775CAB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 segmencie budynków produkcja </w:t>
            </w:r>
            <w:r w:rsidR="0080729F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sprzedana </w:t>
            </w:r>
            <w:r w:rsidR="00EC76D5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wzrosła</w:t>
            </w:r>
            <w:r w:rsidR="00775CAB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DB1CB7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aż </w:t>
            </w:r>
            <w:r w:rsidR="00775CAB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o </w:t>
            </w:r>
            <w:r w:rsidR="00CF7695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30</w:t>
            </w:r>
            <w:r w:rsidR="00DB1CB7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</w:t>
            </w:r>
            <w:r w:rsidR="00CF7695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2</w:t>
            </w:r>
            <w:r w:rsidR="00AB5794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%</w:t>
            </w:r>
            <w:r w:rsidR="00DB1CB7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, </w:t>
            </w:r>
            <w:r w:rsidR="00B86B9D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natomiast w</w:t>
            </w:r>
            <w:r w:rsidR="0080729F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obszarze infrastrukturalnym wzros</w:t>
            </w:r>
            <w:r w:rsidR="00B86B9D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t wyniósł</w:t>
            </w:r>
            <w:r w:rsidR="00DB1CB7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CF7695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14,3</w:t>
            </w:r>
            <w:r w:rsidR="0080729F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%. </w:t>
            </w:r>
          </w:p>
          <w:p w14:paraId="1A79413C" w14:textId="4C941470" w:rsidR="00AE0A58" w:rsidRPr="006B3CBD" w:rsidRDefault="00AE0A58" w:rsidP="00FE4F78">
            <w:pPr>
              <w:spacing w:line="360" w:lineRule="auto"/>
              <w:rPr>
                <w:rFonts w:ascii="Tahoma" w:eastAsia="Tahoma" w:hAnsi="Tahoma" w:cs="Tahoma"/>
                <w:b/>
                <w:color w:val="808080"/>
                <w:sz w:val="18"/>
                <w:szCs w:val="18"/>
                <w:highlight w:val="yellow"/>
              </w:rPr>
            </w:pPr>
          </w:p>
          <w:tbl>
            <w:tblPr>
              <w:tblW w:w="712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72"/>
              <w:gridCol w:w="1553"/>
              <w:gridCol w:w="1553"/>
              <w:gridCol w:w="1348"/>
            </w:tblGrid>
            <w:tr w:rsidR="00AE0A58" w:rsidRPr="006B3CBD" w14:paraId="7F06C267" w14:textId="77777777" w:rsidTr="00FE4F78">
              <w:trPr>
                <w:trHeight w:val="383"/>
              </w:trPr>
              <w:tc>
                <w:tcPr>
                  <w:tcW w:w="2672" w:type="dxa"/>
                  <w:vMerge w:val="restart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nil"/>
                  </w:tcBorders>
                  <w:shd w:val="clear" w:color="000000" w:fill="595959"/>
                  <w:vAlign w:val="center"/>
                  <w:hideMark/>
                </w:tcPr>
                <w:p w14:paraId="38C85CF6" w14:textId="77777777" w:rsidR="00AE0A58" w:rsidRPr="006B3CBD" w:rsidRDefault="00AE0A58" w:rsidP="00AE0A5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F2F2F2"/>
                    </w:rPr>
                  </w:pPr>
                  <w:r w:rsidRPr="006B3CBD">
                    <w:rPr>
                      <w:rFonts w:ascii="Tahoma" w:eastAsia="Times New Roman" w:hAnsi="Tahoma" w:cs="Tahoma"/>
                      <w:b/>
                      <w:bCs/>
                      <w:color w:val="F2F2F2"/>
                    </w:rPr>
                    <w:t>Sektor budownictwa</w:t>
                  </w:r>
                </w:p>
              </w:tc>
              <w:tc>
                <w:tcPr>
                  <w:tcW w:w="445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14:paraId="79A30BC0" w14:textId="77777777" w:rsidR="00AE0A58" w:rsidRPr="006B3CBD" w:rsidRDefault="00AE0A58" w:rsidP="00AE0A5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6B3CBD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Dane statystyczne</w:t>
                  </w:r>
                  <w:r w:rsidRPr="006B3CBD">
                    <w:rPr>
                      <w:rFonts w:ascii="Tahoma" w:eastAsia="Times New Roman" w:hAnsi="Tahoma" w:cs="Tahoma"/>
                      <w:color w:val="000000"/>
                    </w:rPr>
                    <w:t xml:space="preserve"> (mld zł)</w:t>
                  </w:r>
                </w:p>
              </w:tc>
            </w:tr>
            <w:tr w:rsidR="00CF7695" w:rsidRPr="006B3CBD" w14:paraId="2711DC2D" w14:textId="77777777" w:rsidTr="00CF7695">
              <w:trPr>
                <w:trHeight w:val="592"/>
              </w:trPr>
              <w:tc>
                <w:tcPr>
                  <w:tcW w:w="2672" w:type="dxa"/>
                  <w:vMerge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415CDAC9" w14:textId="77777777" w:rsidR="00AE0A58" w:rsidRPr="006B3CBD" w:rsidRDefault="00AE0A58" w:rsidP="00AE0A5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F2F2F2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14:paraId="2242241E" w14:textId="77777777" w:rsidR="00AE0A58" w:rsidRPr="006B3CBD" w:rsidRDefault="00AE0A58" w:rsidP="00AE0A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6B3CBD">
                    <w:rPr>
                      <w:rFonts w:ascii="Tahoma" w:eastAsia="Times New Roman" w:hAnsi="Tahoma" w:cs="Tahoma"/>
                      <w:color w:val="000000"/>
                    </w:rPr>
                    <w:t>1-9 2022</w:t>
                  </w: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14:paraId="5E70573B" w14:textId="77777777" w:rsidR="00AE0A58" w:rsidRPr="006B3CBD" w:rsidRDefault="00AE0A58" w:rsidP="00AE0A5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6B3CBD">
                    <w:rPr>
                      <w:rFonts w:ascii="Tahoma" w:eastAsia="Times New Roman" w:hAnsi="Tahoma" w:cs="Tahoma"/>
                      <w:color w:val="000000"/>
                    </w:rPr>
                    <w:t>1-9 2021</w:t>
                  </w:r>
                </w:p>
              </w:tc>
              <w:tc>
                <w:tcPr>
                  <w:tcW w:w="1347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14:paraId="16CF6574" w14:textId="77777777" w:rsidR="00AE0A58" w:rsidRPr="006B3CBD" w:rsidRDefault="00AE0A58" w:rsidP="00AE0A5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6B3CBD">
                    <w:rPr>
                      <w:rFonts w:ascii="Tahoma" w:eastAsia="Times New Roman" w:hAnsi="Tahoma" w:cs="Tahoma"/>
                      <w:color w:val="000000"/>
                    </w:rPr>
                    <w:t>r/r</w:t>
                  </w:r>
                </w:p>
              </w:tc>
            </w:tr>
            <w:tr w:rsidR="00CF7695" w:rsidRPr="006B3CBD" w14:paraId="30E2C872" w14:textId="77777777" w:rsidTr="00CF7695">
              <w:trPr>
                <w:trHeight w:val="724"/>
              </w:trPr>
              <w:tc>
                <w:tcPr>
                  <w:tcW w:w="2672" w:type="dxa"/>
                  <w:tcBorders>
                    <w:top w:val="nil"/>
                    <w:left w:val="single" w:sz="8" w:space="0" w:color="FFC000"/>
                    <w:bottom w:val="single" w:sz="8" w:space="0" w:color="auto"/>
                    <w:right w:val="nil"/>
                  </w:tcBorders>
                  <w:shd w:val="clear" w:color="000000" w:fill="FFC000"/>
                  <w:vAlign w:val="center"/>
                  <w:hideMark/>
                </w:tcPr>
                <w:p w14:paraId="4C8C1919" w14:textId="77777777" w:rsidR="00AE0A58" w:rsidRPr="006B3CBD" w:rsidRDefault="00AE0A58" w:rsidP="00AE0A5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6B3CBD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 xml:space="preserve">Produkcja </w:t>
                  </w:r>
                  <w:r w:rsidRPr="006B3CBD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br/>
                    <w:t>sprzedana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14:paraId="35ABAD19" w14:textId="77777777" w:rsidR="00AE0A58" w:rsidRPr="006B3CBD" w:rsidRDefault="00AE0A58" w:rsidP="00AE0A5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6B3CBD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94,5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14:paraId="161C69D5" w14:textId="77777777" w:rsidR="00AE0A58" w:rsidRPr="006B3CBD" w:rsidRDefault="00AE0A58" w:rsidP="00AE0A5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6B3CBD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77,4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14:paraId="5B14CA5F" w14:textId="77777777" w:rsidR="00AE0A58" w:rsidRPr="006B3CBD" w:rsidRDefault="00AE0A58" w:rsidP="00AE0A5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6B3CBD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22,2%</w:t>
                  </w:r>
                </w:p>
              </w:tc>
            </w:tr>
            <w:tr w:rsidR="00CF7695" w:rsidRPr="006B3CBD" w14:paraId="655D653F" w14:textId="77777777" w:rsidTr="00CF7695">
              <w:trPr>
                <w:trHeight w:val="444"/>
              </w:trPr>
              <w:tc>
                <w:tcPr>
                  <w:tcW w:w="2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F0DFF50" w14:textId="77777777" w:rsidR="00AE0A58" w:rsidRPr="006B3CBD" w:rsidRDefault="00AE0A58" w:rsidP="00AE0A58">
                  <w:pPr>
                    <w:spacing w:after="0" w:line="240" w:lineRule="auto"/>
                    <w:outlineLvl w:val="0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6B3CBD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Budynki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27086885" w14:textId="77777777" w:rsidR="00AE0A58" w:rsidRPr="006B3CBD" w:rsidRDefault="00AE0A58" w:rsidP="00AE0A58">
                  <w:pPr>
                    <w:spacing w:after="0" w:line="240" w:lineRule="auto"/>
                    <w:outlineLvl w:val="0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6B3CBD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49,9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89E8299" w14:textId="77777777" w:rsidR="00AE0A58" w:rsidRPr="006B3CBD" w:rsidRDefault="00AE0A58" w:rsidP="00AE0A58">
                  <w:pPr>
                    <w:spacing w:after="0" w:line="240" w:lineRule="auto"/>
                    <w:outlineLvl w:val="0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6B3CBD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38,3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4404D79C" w14:textId="77777777" w:rsidR="00AE0A58" w:rsidRPr="006B3CBD" w:rsidRDefault="00AE0A58" w:rsidP="00AE0A58">
                  <w:pPr>
                    <w:spacing w:after="0" w:line="240" w:lineRule="auto"/>
                    <w:outlineLvl w:val="0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6B3CBD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30,2%</w:t>
                  </w:r>
                </w:p>
              </w:tc>
            </w:tr>
            <w:tr w:rsidR="00CF7695" w:rsidRPr="006B3CBD" w14:paraId="682C3262" w14:textId="77777777" w:rsidTr="00CF7695">
              <w:trPr>
                <w:trHeight w:val="312"/>
              </w:trPr>
              <w:tc>
                <w:tcPr>
                  <w:tcW w:w="2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DE897AE" w14:textId="77777777" w:rsidR="00AE0A58" w:rsidRPr="006B3CBD" w:rsidRDefault="00AE0A58" w:rsidP="00AE0A58">
                  <w:pPr>
                    <w:spacing w:after="0" w:line="240" w:lineRule="auto"/>
                    <w:outlineLvl w:val="0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6B3CBD">
                    <w:rPr>
                      <w:rFonts w:ascii="Tahoma" w:eastAsia="Times New Roman" w:hAnsi="Tahoma" w:cs="Tahoma"/>
                      <w:color w:val="404040"/>
                    </w:rPr>
                    <w:t>udział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F0FD191" w14:textId="77777777" w:rsidR="00AE0A58" w:rsidRPr="006B3CBD" w:rsidRDefault="00AE0A58" w:rsidP="00AE0A58">
                  <w:pPr>
                    <w:spacing w:after="0" w:line="240" w:lineRule="auto"/>
                    <w:outlineLvl w:val="0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6B3CBD">
                    <w:rPr>
                      <w:rFonts w:ascii="Tahoma" w:eastAsia="Times New Roman" w:hAnsi="Tahoma" w:cs="Tahoma"/>
                      <w:color w:val="404040"/>
                    </w:rPr>
                    <w:t>52,8%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CE77BF8" w14:textId="77777777" w:rsidR="00AE0A58" w:rsidRPr="006B3CBD" w:rsidRDefault="00AE0A58" w:rsidP="00AE0A58">
                  <w:pPr>
                    <w:spacing w:after="0" w:line="240" w:lineRule="auto"/>
                    <w:outlineLvl w:val="0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6B3CBD">
                    <w:rPr>
                      <w:rFonts w:ascii="Tahoma" w:eastAsia="Times New Roman" w:hAnsi="Tahoma" w:cs="Tahoma"/>
                      <w:color w:val="404040"/>
                    </w:rPr>
                    <w:t>49,5%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78BC033" w14:textId="5EF715E8" w:rsidR="00AE0A58" w:rsidRPr="006B3CBD" w:rsidRDefault="00AE0A58" w:rsidP="00AE0A58">
                  <w:pPr>
                    <w:spacing w:after="0" w:line="240" w:lineRule="auto"/>
                    <w:outlineLvl w:val="0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6B3CBD">
                    <w:rPr>
                      <w:rFonts w:ascii="Tahoma" w:eastAsia="Times New Roman" w:hAnsi="Tahoma" w:cs="Tahoma"/>
                      <w:color w:val="404040"/>
                    </w:rPr>
                    <w:t xml:space="preserve">3,2 </w:t>
                  </w:r>
                  <w:proofErr w:type="spellStart"/>
                  <w:r w:rsidRPr="006B3CBD">
                    <w:rPr>
                      <w:rFonts w:ascii="Tahoma" w:eastAsia="Times New Roman" w:hAnsi="Tahoma" w:cs="Tahoma"/>
                      <w:color w:val="404040"/>
                    </w:rPr>
                    <w:t>p.p</w:t>
                  </w:r>
                  <w:proofErr w:type="spellEnd"/>
                </w:p>
              </w:tc>
            </w:tr>
            <w:tr w:rsidR="00CF7695" w:rsidRPr="006B3CBD" w14:paraId="4106551D" w14:textId="77777777" w:rsidTr="00CF7695">
              <w:trPr>
                <w:trHeight w:val="444"/>
              </w:trPr>
              <w:tc>
                <w:tcPr>
                  <w:tcW w:w="2672" w:type="dxa"/>
                  <w:tcBorders>
                    <w:top w:val="single" w:sz="4" w:space="0" w:color="000000"/>
                    <w:left w:val="nil"/>
                    <w:bottom w:val="dashed" w:sz="4" w:space="0" w:color="000000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5F9EB42C" w14:textId="77777777" w:rsidR="00AE0A58" w:rsidRPr="006B3CBD" w:rsidRDefault="00AE0A58" w:rsidP="00AE0A5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6B3CBD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Inżynieria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dashed" w:sz="4" w:space="0" w:color="000000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6672E628" w14:textId="77777777" w:rsidR="00AE0A58" w:rsidRPr="006B3CBD" w:rsidRDefault="00AE0A58" w:rsidP="00AE0A5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6B3CBD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44,7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dashed" w:sz="4" w:space="0" w:color="000000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60F47521" w14:textId="77777777" w:rsidR="00AE0A58" w:rsidRPr="006B3CBD" w:rsidRDefault="00AE0A58" w:rsidP="00AE0A5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6B3CBD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39,1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dashed" w:sz="4" w:space="0" w:color="000000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D3E62B5" w14:textId="77777777" w:rsidR="00AE0A58" w:rsidRPr="006B3CBD" w:rsidRDefault="00AE0A58" w:rsidP="00AE0A5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6B3CBD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14,3%</w:t>
                  </w:r>
                </w:p>
              </w:tc>
            </w:tr>
            <w:tr w:rsidR="00CF7695" w:rsidRPr="006B3CBD" w14:paraId="359BAC34" w14:textId="77777777" w:rsidTr="00CF7695">
              <w:trPr>
                <w:trHeight w:val="362"/>
              </w:trPr>
              <w:tc>
                <w:tcPr>
                  <w:tcW w:w="2672" w:type="dxa"/>
                  <w:tcBorders>
                    <w:top w:val="nil"/>
                    <w:left w:val="nil"/>
                    <w:bottom w:val="dotted" w:sz="4" w:space="0" w:color="808080"/>
                    <w:right w:val="nil"/>
                  </w:tcBorders>
                  <w:shd w:val="clear" w:color="000000" w:fill="F9F9F9"/>
                  <w:noWrap/>
                  <w:vAlign w:val="center"/>
                  <w:hideMark/>
                </w:tcPr>
                <w:p w14:paraId="08F42B67" w14:textId="77777777" w:rsidR="00AE0A58" w:rsidRPr="006B3CBD" w:rsidRDefault="00AE0A58" w:rsidP="00AE0A58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</w:pPr>
                  <w:r w:rsidRPr="006B3CBD"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  <w:t>w tym: drogi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dotted" w:sz="4" w:space="0" w:color="808080"/>
                    <w:right w:val="nil"/>
                  </w:tcBorders>
                  <w:shd w:val="clear" w:color="000000" w:fill="F9F9F9"/>
                  <w:noWrap/>
                  <w:vAlign w:val="center"/>
                  <w:hideMark/>
                </w:tcPr>
                <w:p w14:paraId="1A31D707" w14:textId="77777777" w:rsidR="00AE0A58" w:rsidRPr="006B3CBD" w:rsidRDefault="00AE0A58" w:rsidP="00AE0A58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</w:pPr>
                  <w:r w:rsidRPr="006B3CBD"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  <w:t>16,4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dotted" w:sz="4" w:space="0" w:color="808080"/>
                    <w:right w:val="nil"/>
                  </w:tcBorders>
                  <w:shd w:val="clear" w:color="000000" w:fill="F9F9F9"/>
                  <w:noWrap/>
                  <w:vAlign w:val="center"/>
                  <w:hideMark/>
                </w:tcPr>
                <w:p w14:paraId="0512DB66" w14:textId="77777777" w:rsidR="00AE0A58" w:rsidRPr="006B3CBD" w:rsidRDefault="00AE0A58" w:rsidP="00AE0A58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</w:pPr>
                  <w:r w:rsidRPr="006B3CBD"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  <w:t>13,2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dotted" w:sz="4" w:space="0" w:color="808080"/>
                    <w:right w:val="nil"/>
                  </w:tcBorders>
                  <w:shd w:val="clear" w:color="000000" w:fill="F9F9F9"/>
                  <w:noWrap/>
                  <w:vAlign w:val="center"/>
                  <w:hideMark/>
                </w:tcPr>
                <w:p w14:paraId="3F777FD8" w14:textId="77777777" w:rsidR="00AE0A58" w:rsidRPr="006B3CBD" w:rsidRDefault="00AE0A58" w:rsidP="00AE0A58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</w:pPr>
                  <w:r w:rsidRPr="006B3CBD"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  <w:t>23,9%</w:t>
                  </w:r>
                </w:p>
              </w:tc>
            </w:tr>
            <w:tr w:rsidR="00CF7695" w:rsidRPr="006B3CBD" w14:paraId="2ACBEE9F" w14:textId="77777777" w:rsidTr="00CF7695">
              <w:trPr>
                <w:trHeight w:val="362"/>
              </w:trPr>
              <w:tc>
                <w:tcPr>
                  <w:tcW w:w="2672" w:type="dxa"/>
                  <w:tcBorders>
                    <w:top w:val="nil"/>
                    <w:left w:val="nil"/>
                    <w:bottom w:val="dotted" w:sz="4" w:space="0" w:color="808080"/>
                    <w:right w:val="nil"/>
                  </w:tcBorders>
                  <w:shd w:val="clear" w:color="000000" w:fill="F9F9F9"/>
                  <w:noWrap/>
                  <w:vAlign w:val="center"/>
                  <w:hideMark/>
                </w:tcPr>
                <w:p w14:paraId="7C43FBB5" w14:textId="77777777" w:rsidR="00AE0A58" w:rsidRPr="006B3CBD" w:rsidRDefault="00AE0A58" w:rsidP="00AE0A58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</w:pPr>
                  <w:r w:rsidRPr="006B3CBD"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  <w:t>w tym: koleje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dotted" w:sz="4" w:space="0" w:color="808080"/>
                    <w:right w:val="nil"/>
                  </w:tcBorders>
                  <w:shd w:val="clear" w:color="000000" w:fill="F9F9F9"/>
                  <w:noWrap/>
                  <w:vAlign w:val="center"/>
                  <w:hideMark/>
                </w:tcPr>
                <w:p w14:paraId="571C55A0" w14:textId="77777777" w:rsidR="00AE0A58" w:rsidRPr="006B3CBD" w:rsidRDefault="00AE0A58" w:rsidP="00AE0A58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</w:pPr>
                  <w:r w:rsidRPr="006B3CBD"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  <w:t>5,4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dotted" w:sz="4" w:space="0" w:color="808080"/>
                    <w:right w:val="nil"/>
                  </w:tcBorders>
                  <w:shd w:val="clear" w:color="000000" w:fill="F9F9F9"/>
                  <w:noWrap/>
                  <w:vAlign w:val="center"/>
                  <w:hideMark/>
                </w:tcPr>
                <w:p w14:paraId="750DB32A" w14:textId="77777777" w:rsidR="00AE0A58" w:rsidRPr="006B3CBD" w:rsidRDefault="00AE0A58" w:rsidP="00AE0A58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</w:pPr>
                  <w:r w:rsidRPr="006B3CBD"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  <w:t>5,1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dotted" w:sz="4" w:space="0" w:color="808080"/>
                    <w:right w:val="nil"/>
                  </w:tcBorders>
                  <w:shd w:val="clear" w:color="000000" w:fill="F9F9F9"/>
                  <w:noWrap/>
                  <w:vAlign w:val="center"/>
                  <w:hideMark/>
                </w:tcPr>
                <w:p w14:paraId="299F3C82" w14:textId="77777777" w:rsidR="00AE0A58" w:rsidRPr="006B3CBD" w:rsidRDefault="00AE0A58" w:rsidP="00AE0A58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</w:pPr>
                  <w:r w:rsidRPr="006B3CBD"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  <w:t>5,0%</w:t>
                  </w:r>
                </w:p>
              </w:tc>
            </w:tr>
            <w:tr w:rsidR="00CF7695" w:rsidRPr="006B3CBD" w14:paraId="18417A12" w14:textId="77777777" w:rsidTr="00CF7695">
              <w:trPr>
                <w:trHeight w:val="312"/>
              </w:trPr>
              <w:tc>
                <w:tcPr>
                  <w:tcW w:w="2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4145F74D" w14:textId="77777777" w:rsidR="00AE0A58" w:rsidRPr="006B3CBD" w:rsidRDefault="00AE0A58" w:rsidP="00AE0A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6B3CBD">
                    <w:rPr>
                      <w:rFonts w:ascii="Tahoma" w:eastAsia="Times New Roman" w:hAnsi="Tahoma" w:cs="Tahoma"/>
                      <w:color w:val="404040"/>
                    </w:rPr>
                    <w:t>udział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42D1047" w14:textId="77777777" w:rsidR="00AE0A58" w:rsidRPr="006B3CBD" w:rsidRDefault="00AE0A58" w:rsidP="00AE0A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6B3CBD">
                    <w:rPr>
                      <w:rFonts w:ascii="Tahoma" w:eastAsia="Times New Roman" w:hAnsi="Tahoma" w:cs="Tahoma"/>
                      <w:color w:val="404040"/>
                    </w:rPr>
                    <w:t>47,2%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FD63C53" w14:textId="77777777" w:rsidR="00AE0A58" w:rsidRPr="006B3CBD" w:rsidRDefault="00AE0A58" w:rsidP="00AE0A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6B3CBD">
                    <w:rPr>
                      <w:rFonts w:ascii="Tahoma" w:eastAsia="Times New Roman" w:hAnsi="Tahoma" w:cs="Tahoma"/>
                      <w:color w:val="404040"/>
                    </w:rPr>
                    <w:t>50,5%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8D50F67" w14:textId="39BAEC74" w:rsidR="00AE0A58" w:rsidRPr="006B3CBD" w:rsidRDefault="00AE0A58" w:rsidP="00AE0A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6B3CBD">
                    <w:rPr>
                      <w:rFonts w:ascii="Tahoma" w:eastAsia="Times New Roman" w:hAnsi="Tahoma" w:cs="Tahoma"/>
                      <w:color w:val="404040"/>
                    </w:rPr>
                    <w:t xml:space="preserve">-3,2 </w:t>
                  </w:r>
                  <w:proofErr w:type="spellStart"/>
                  <w:r w:rsidRPr="006B3CBD">
                    <w:rPr>
                      <w:rFonts w:ascii="Tahoma" w:eastAsia="Times New Roman" w:hAnsi="Tahoma" w:cs="Tahoma"/>
                      <w:color w:val="404040"/>
                    </w:rPr>
                    <w:t>p.p</w:t>
                  </w:r>
                  <w:proofErr w:type="spellEnd"/>
                </w:p>
              </w:tc>
            </w:tr>
          </w:tbl>
          <w:p w14:paraId="67A447BE" w14:textId="7188718E" w:rsidR="00D660C1" w:rsidRPr="006B3CBD" w:rsidRDefault="00D660C1" w:rsidP="00EC76D5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808080"/>
                <w:sz w:val="18"/>
                <w:szCs w:val="18"/>
                <w:highlight w:val="yellow"/>
              </w:rPr>
            </w:pPr>
          </w:p>
          <w:p w14:paraId="1E6BCA7A" w14:textId="77777777" w:rsidR="006C0DB9" w:rsidRPr="006B3CBD" w:rsidRDefault="006C0DB9" w:rsidP="005B039B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</w:p>
          <w:p w14:paraId="3B864BE0" w14:textId="77777777" w:rsidR="006C0DB9" w:rsidRPr="006B3CBD" w:rsidRDefault="006C0DB9" w:rsidP="005B039B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</w:p>
          <w:p w14:paraId="13B19373" w14:textId="77777777" w:rsidR="00DB6966" w:rsidRPr="006B3CBD" w:rsidRDefault="00DB6966" w:rsidP="005B039B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</w:p>
          <w:p w14:paraId="521B0869" w14:textId="4D4F17B1" w:rsidR="005B039B" w:rsidRPr="006B3CBD" w:rsidRDefault="00FD14F3" w:rsidP="005B039B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  <w:r w:rsidRPr="006B3CB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lastRenderedPageBreak/>
              <w:t>S</w:t>
            </w:r>
            <w:r w:rsidR="00775CAB" w:rsidRPr="006B3CB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przedaż segmentu budowlanego Grupy Budimex </w:t>
            </w:r>
            <w:r w:rsidRPr="006B3CB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wyniosła</w:t>
            </w:r>
            <w:r w:rsidR="00775CAB" w:rsidRPr="006B3CB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</w:t>
            </w:r>
            <w:r w:rsidR="006C0DB9" w:rsidRPr="006B3CB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5</w:t>
            </w:r>
            <w:r w:rsidR="00956074" w:rsidRPr="006B3CB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</w:t>
            </w:r>
            <w:r w:rsidR="002B77BF" w:rsidRPr="006B3CB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mld </w:t>
            </w:r>
            <w:r w:rsidR="006C0DB9" w:rsidRPr="006B3CB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809</w:t>
            </w:r>
            <w:r w:rsidR="004F656D" w:rsidRPr="006B3CB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</w:t>
            </w:r>
            <w:r w:rsidR="00775CAB" w:rsidRPr="006B3CB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milion</w:t>
            </w:r>
            <w:r w:rsidR="006C0DB9" w:rsidRPr="006B3CB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ów</w:t>
            </w:r>
            <w:r w:rsidR="00775CAB" w:rsidRPr="006B3CB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złotych</w:t>
            </w:r>
            <w:r w:rsidR="00544554" w:rsidRPr="006B3CB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.</w:t>
            </w:r>
          </w:p>
          <w:p w14:paraId="475031DE" w14:textId="17709642" w:rsidR="00C040ED" w:rsidRPr="006B3CBD" w:rsidRDefault="00C040ED" w:rsidP="00BB5533">
            <w:pPr>
              <w:spacing w:line="360" w:lineRule="auto"/>
              <w:rPr>
                <w:rFonts w:ascii="Tahoma" w:eastAsia="Tahoma" w:hAnsi="Tahoma" w:cs="Tahoma"/>
                <w:b/>
                <w:color w:val="808080"/>
                <w:sz w:val="18"/>
                <w:szCs w:val="18"/>
                <w:highlight w:val="yellow"/>
              </w:rPr>
            </w:pPr>
          </w:p>
          <w:tbl>
            <w:tblPr>
              <w:tblW w:w="70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80"/>
              <w:gridCol w:w="1510"/>
              <w:gridCol w:w="1531"/>
              <w:gridCol w:w="1319"/>
            </w:tblGrid>
            <w:tr w:rsidR="00875C77" w:rsidRPr="006B3CBD" w14:paraId="69931C67" w14:textId="77777777" w:rsidTr="001E1249">
              <w:trPr>
                <w:trHeight w:val="362"/>
              </w:trPr>
              <w:tc>
                <w:tcPr>
                  <w:tcW w:w="26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95959"/>
                  <w:vAlign w:val="center"/>
                  <w:hideMark/>
                </w:tcPr>
                <w:p w14:paraId="5396A95E" w14:textId="77777777" w:rsidR="00875C77" w:rsidRPr="006B3CBD" w:rsidRDefault="00875C77" w:rsidP="00875C7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FFFFFF"/>
                    </w:rPr>
                  </w:pPr>
                  <w:r w:rsidRPr="006B3CBD">
                    <w:rPr>
                      <w:rFonts w:ascii="Tahoma" w:eastAsia="Times New Roman" w:hAnsi="Tahoma" w:cs="Tahoma"/>
                      <w:b/>
                      <w:bCs/>
                      <w:color w:val="FFFFFF"/>
                    </w:rPr>
                    <w:t>Segment budowlany</w:t>
                  </w:r>
                  <w:r w:rsidRPr="006B3CBD">
                    <w:rPr>
                      <w:rFonts w:ascii="Tahoma" w:eastAsia="Times New Roman" w:hAnsi="Tahoma" w:cs="Tahoma"/>
                      <w:b/>
                      <w:bCs/>
                      <w:color w:val="FFFFFF"/>
                    </w:rPr>
                    <w:br/>
                    <w:t>(mln zł.)</w:t>
                  </w:r>
                </w:p>
              </w:tc>
              <w:tc>
                <w:tcPr>
                  <w:tcW w:w="43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14:paraId="55EC695E" w14:textId="77777777" w:rsidR="00875C77" w:rsidRPr="006B3CBD" w:rsidRDefault="00875C77" w:rsidP="00875C7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6B3CBD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Rachunek zysków i strat</w:t>
                  </w:r>
                </w:p>
              </w:tc>
            </w:tr>
            <w:tr w:rsidR="00875C77" w:rsidRPr="006B3CBD" w14:paraId="1E720EF8" w14:textId="77777777" w:rsidTr="001E1249">
              <w:trPr>
                <w:trHeight w:val="561"/>
              </w:trPr>
              <w:tc>
                <w:tcPr>
                  <w:tcW w:w="26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BB592C7" w14:textId="77777777" w:rsidR="00875C77" w:rsidRPr="006B3CBD" w:rsidRDefault="00875C77" w:rsidP="00875C7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FFFFFF"/>
                    </w:rPr>
                  </w:pP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14:paraId="0FCCC3B3" w14:textId="77777777" w:rsidR="00875C77" w:rsidRPr="006B3CBD" w:rsidRDefault="00875C77" w:rsidP="00875C7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6B3CBD">
                    <w:rPr>
                      <w:rFonts w:ascii="Tahoma" w:eastAsia="Times New Roman" w:hAnsi="Tahoma" w:cs="Tahoma"/>
                      <w:color w:val="000000"/>
                    </w:rPr>
                    <w:t>1-3 kw. 2022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14:paraId="3D7C509E" w14:textId="77777777" w:rsidR="00875C77" w:rsidRPr="006B3CBD" w:rsidRDefault="00875C77" w:rsidP="00875C7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6B3CBD">
                    <w:rPr>
                      <w:rFonts w:ascii="Tahoma" w:eastAsia="Times New Roman" w:hAnsi="Tahoma" w:cs="Tahoma"/>
                      <w:color w:val="000000"/>
                    </w:rPr>
                    <w:t>1-3 kw. 2021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14:paraId="652D85C7" w14:textId="77777777" w:rsidR="00875C77" w:rsidRPr="006B3CBD" w:rsidRDefault="00875C77" w:rsidP="00875C7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6B3CBD">
                    <w:rPr>
                      <w:rFonts w:ascii="Tahoma" w:eastAsia="Times New Roman" w:hAnsi="Tahoma" w:cs="Tahoma"/>
                      <w:color w:val="000000"/>
                    </w:rPr>
                    <w:t>r/r</w:t>
                  </w:r>
                </w:p>
              </w:tc>
            </w:tr>
            <w:tr w:rsidR="00875C77" w:rsidRPr="006B3CBD" w14:paraId="40FC38F5" w14:textId="77777777" w:rsidTr="001E1249">
              <w:trPr>
                <w:trHeight w:val="436"/>
              </w:trPr>
              <w:tc>
                <w:tcPr>
                  <w:tcW w:w="268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14:paraId="18B4F43F" w14:textId="77777777" w:rsidR="00875C77" w:rsidRPr="006B3CBD" w:rsidRDefault="00875C77" w:rsidP="00875C7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6B3CBD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Sprzedaż</w:t>
                  </w:r>
                </w:p>
              </w:tc>
              <w:tc>
                <w:tcPr>
                  <w:tcW w:w="15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14:paraId="710AD88B" w14:textId="77777777" w:rsidR="00875C77" w:rsidRPr="006B3CBD" w:rsidRDefault="00875C77" w:rsidP="00875C7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6B3CBD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5 809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14:paraId="48224D86" w14:textId="77777777" w:rsidR="00875C77" w:rsidRPr="006B3CBD" w:rsidRDefault="00875C77" w:rsidP="00875C7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6B3CBD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5 118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14:paraId="6704DF6D" w14:textId="77777777" w:rsidR="00875C77" w:rsidRPr="006B3CBD" w:rsidRDefault="00875C77" w:rsidP="00875C7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6B3CBD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13,5%</w:t>
                  </w:r>
                </w:p>
              </w:tc>
            </w:tr>
            <w:tr w:rsidR="00875C77" w:rsidRPr="006B3CBD" w14:paraId="0EC1A38E" w14:textId="77777777" w:rsidTr="001E1249">
              <w:trPr>
                <w:trHeight w:val="436"/>
              </w:trPr>
              <w:tc>
                <w:tcPr>
                  <w:tcW w:w="268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2721D91C" w14:textId="77777777" w:rsidR="00875C77" w:rsidRPr="006B3CBD" w:rsidRDefault="00875C77" w:rsidP="00875C7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6B3CBD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Zysk operacyjny</w:t>
                  </w:r>
                </w:p>
              </w:tc>
              <w:tc>
                <w:tcPr>
                  <w:tcW w:w="15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5892D34C" w14:textId="77777777" w:rsidR="00875C77" w:rsidRPr="006B3CBD" w:rsidRDefault="00875C77" w:rsidP="00875C7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6B3CBD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353</w:t>
                  </w:r>
                </w:p>
              </w:tc>
              <w:tc>
                <w:tcPr>
                  <w:tcW w:w="153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3C0F96E" w14:textId="77777777" w:rsidR="00875C77" w:rsidRPr="006B3CBD" w:rsidRDefault="00875C77" w:rsidP="00875C7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6B3CBD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278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6D2DBD3C" w14:textId="77777777" w:rsidR="00875C77" w:rsidRPr="006B3CBD" w:rsidRDefault="00875C77" w:rsidP="00875C7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6B3CBD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26,7%</w:t>
                  </w:r>
                </w:p>
              </w:tc>
            </w:tr>
            <w:tr w:rsidR="00875C77" w:rsidRPr="006B3CBD" w14:paraId="438861AD" w14:textId="77777777" w:rsidTr="001E1249">
              <w:trPr>
                <w:trHeight w:val="262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5AC42B2" w14:textId="77777777" w:rsidR="00875C77" w:rsidRPr="006B3CBD" w:rsidRDefault="00875C77" w:rsidP="00875C7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6B3CBD">
                    <w:rPr>
                      <w:rFonts w:ascii="Tahoma" w:eastAsia="Times New Roman" w:hAnsi="Tahoma" w:cs="Tahoma"/>
                      <w:color w:val="404040"/>
                    </w:rPr>
                    <w:t>% sprzedaży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2C8784C7" w14:textId="77777777" w:rsidR="00875C77" w:rsidRPr="006B3CBD" w:rsidRDefault="00875C77" w:rsidP="00875C7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6B3CBD">
                    <w:rPr>
                      <w:rFonts w:ascii="Tahoma" w:eastAsia="Times New Roman" w:hAnsi="Tahoma" w:cs="Tahoma"/>
                      <w:color w:val="404040"/>
                    </w:rPr>
                    <w:t>6,1%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65FD7F29" w14:textId="77777777" w:rsidR="00875C77" w:rsidRPr="006B3CBD" w:rsidRDefault="00875C77" w:rsidP="00875C7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6B3CBD">
                    <w:rPr>
                      <w:rFonts w:ascii="Tahoma" w:eastAsia="Times New Roman" w:hAnsi="Tahoma" w:cs="Tahoma"/>
                      <w:color w:val="404040"/>
                    </w:rPr>
                    <w:t>5,4%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490442ED" w14:textId="77777777" w:rsidR="00875C77" w:rsidRPr="006B3CBD" w:rsidRDefault="00875C77" w:rsidP="00875C7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6B3CBD">
                    <w:rPr>
                      <w:rFonts w:ascii="Tahoma" w:eastAsia="Times New Roman" w:hAnsi="Tahoma" w:cs="Tahoma"/>
                      <w:color w:val="404040"/>
                    </w:rPr>
                    <w:t>0,6% pp.</w:t>
                  </w:r>
                </w:p>
              </w:tc>
            </w:tr>
            <w:tr w:rsidR="00875C77" w:rsidRPr="006B3CBD" w14:paraId="7C379807" w14:textId="77777777" w:rsidTr="001E1249">
              <w:trPr>
                <w:trHeight w:val="436"/>
              </w:trPr>
              <w:tc>
                <w:tcPr>
                  <w:tcW w:w="26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6218130C" w14:textId="77777777" w:rsidR="00875C77" w:rsidRPr="006B3CBD" w:rsidRDefault="00875C77" w:rsidP="00875C7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6B3CBD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Zysk brutto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509F8E19" w14:textId="77777777" w:rsidR="00875C77" w:rsidRPr="006B3CBD" w:rsidRDefault="00875C77" w:rsidP="00875C7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6B3CBD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398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41B2DA6" w14:textId="77777777" w:rsidR="00875C77" w:rsidRPr="006B3CBD" w:rsidRDefault="00875C77" w:rsidP="00875C7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6B3CBD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251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71B3079A" w14:textId="77777777" w:rsidR="00875C77" w:rsidRPr="006B3CBD" w:rsidRDefault="00875C77" w:rsidP="00875C7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6B3CBD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58,6%</w:t>
                  </w:r>
                </w:p>
              </w:tc>
            </w:tr>
            <w:tr w:rsidR="00875C77" w:rsidRPr="006B3CBD" w14:paraId="1B30F91D" w14:textId="77777777" w:rsidTr="001E1249">
              <w:trPr>
                <w:trHeight w:val="262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7BD032C2" w14:textId="77777777" w:rsidR="00875C77" w:rsidRPr="006B3CBD" w:rsidRDefault="00875C77" w:rsidP="00875C7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6B3CBD">
                    <w:rPr>
                      <w:rFonts w:ascii="Tahoma" w:eastAsia="Times New Roman" w:hAnsi="Tahoma" w:cs="Tahoma"/>
                      <w:color w:val="404040"/>
                    </w:rPr>
                    <w:t>% sprzedaży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7D38442B" w14:textId="77777777" w:rsidR="00875C77" w:rsidRPr="006B3CBD" w:rsidRDefault="00875C77" w:rsidP="00875C7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6B3CBD">
                    <w:rPr>
                      <w:rFonts w:ascii="Tahoma" w:eastAsia="Times New Roman" w:hAnsi="Tahoma" w:cs="Tahoma"/>
                      <w:color w:val="404040"/>
                    </w:rPr>
                    <w:t>6,9%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729C2406" w14:textId="77777777" w:rsidR="00875C77" w:rsidRPr="006B3CBD" w:rsidRDefault="00875C77" w:rsidP="00875C7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6B3CBD">
                    <w:rPr>
                      <w:rFonts w:ascii="Tahoma" w:eastAsia="Times New Roman" w:hAnsi="Tahoma" w:cs="Tahoma"/>
                      <w:color w:val="404040"/>
                    </w:rPr>
                    <w:t>4,9%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6B1EE480" w14:textId="77777777" w:rsidR="00875C77" w:rsidRPr="006B3CBD" w:rsidRDefault="00875C77" w:rsidP="00875C7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6B3CBD">
                    <w:rPr>
                      <w:rFonts w:ascii="Tahoma" w:eastAsia="Times New Roman" w:hAnsi="Tahoma" w:cs="Tahoma"/>
                      <w:color w:val="404040"/>
                    </w:rPr>
                    <w:t>1,9% pp.</w:t>
                  </w:r>
                </w:p>
              </w:tc>
            </w:tr>
            <w:tr w:rsidR="00875C77" w:rsidRPr="006B3CBD" w14:paraId="658F08FD" w14:textId="77777777" w:rsidTr="001E1249">
              <w:trPr>
                <w:trHeight w:val="523"/>
              </w:trPr>
              <w:tc>
                <w:tcPr>
                  <w:tcW w:w="26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vAlign w:val="center"/>
                  <w:hideMark/>
                </w:tcPr>
                <w:p w14:paraId="40D195B1" w14:textId="77777777" w:rsidR="00875C77" w:rsidRPr="006B3CBD" w:rsidRDefault="00875C77" w:rsidP="00875C7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6B3CBD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Portfel zamówień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43687E11" w14:textId="77777777" w:rsidR="00875C77" w:rsidRPr="006B3CBD" w:rsidRDefault="00875C77" w:rsidP="00875C7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6B3CBD">
                    <w:rPr>
                      <w:rFonts w:ascii="Tahoma" w:eastAsia="Times New Roman" w:hAnsi="Tahoma" w:cs="Tahoma"/>
                      <w:color w:val="404040"/>
                    </w:rPr>
                    <w:t>12 466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AB9390E" w14:textId="77777777" w:rsidR="00875C77" w:rsidRPr="006B3CBD" w:rsidRDefault="00875C77" w:rsidP="00875C7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6B3CBD">
                    <w:rPr>
                      <w:rFonts w:ascii="Tahoma" w:eastAsia="Times New Roman" w:hAnsi="Tahoma" w:cs="Tahoma"/>
                      <w:color w:val="404040"/>
                    </w:rPr>
                    <w:t>14 021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4ECE909F" w14:textId="77777777" w:rsidR="00875C77" w:rsidRPr="006B3CBD" w:rsidRDefault="00875C77" w:rsidP="00875C7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6B3CBD">
                    <w:rPr>
                      <w:rFonts w:ascii="Tahoma" w:eastAsia="Times New Roman" w:hAnsi="Tahoma" w:cs="Tahoma"/>
                      <w:color w:val="404040"/>
                    </w:rPr>
                    <w:t>-11,1%</w:t>
                  </w:r>
                </w:p>
              </w:tc>
            </w:tr>
            <w:tr w:rsidR="00875C77" w:rsidRPr="006B3CBD" w14:paraId="5A5D8E5A" w14:textId="77777777" w:rsidTr="001E1249">
              <w:trPr>
                <w:trHeight w:val="523"/>
              </w:trPr>
              <w:tc>
                <w:tcPr>
                  <w:tcW w:w="26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B58BAF6" w14:textId="77777777" w:rsidR="00875C77" w:rsidRPr="006B3CBD" w:rsidRDefault="00875C77" w:rsidP="00875C7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6B3CBD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Kontraktacja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56093C2B" w14:textId="77777777" w:rsidR="00875C77" w:rsidRPr="006B3CBD" w:rsidRDefault="00875C77" w:rsidP="00875C7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6B3CBD">
                    <w:rPr>
                      <w:rFonts w:ascii="Tahoma" w:eastAsia="Times New Roman" w:hAnsi="Tahoma" w:cs="Tahoma"/>
                      <w:color w:val="404040"/>
                    </w:rPr>
                    <w:t>4 609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B561E6E" w14:textId="77777777" w:rsidR="00875C77" w:rsidRPr="006B3CBD" w:rsidRDefault="00875C77" w:rsidP="00875C7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6B3CBD">
                    <w:rPr>
                      <w:rFonts w:ascii="Tahoma" w:eastAsia="Times New Roman" w:hAnsi="Tahoma" w:cs="Tahoma"/>
                      <w:color w:val="404040"/>
                    </w:rPr>
                    <w:t>5 879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71DA2F82" w14:textId="77777777" w:rsidR="00875C77" w:rsidRPr="006B3CBD" w:rsidRDefault="00875C77" w:rsidP="00875C7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6B3CBD">
                    <w:rPr>
                      <w:rFonts w:ascii="Tahoma" w:eastAsia="Times New Roman" w:hAnsi="Tahoma" w:cs="Tahoma"/>
                      <w:color w:val="404040"/>
                    </w:rPr>
                    <w:t>-21,6%</w:t>
                  </w:r>
                </w:p>
              </w:tc>
            </w:tr>
          </w:tbl>
          <w:p w14:paraId="13D9D333" w14:textId="415B51A4" w:rsidR="00C040ED" w:rsidRPr="006B3CBD" w:rsidRDefault="00C040ED" w:rsidP="005B039B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  <w:highlight w:val="yellow"/>
              </w:rPr>
            </w:pPr>
          </w:p>
          <w:p w14:paraId="46F33C45" w14:textId="77777777" w:rsidR="00956074" w:rsidRPr="006B3CBD" w:rsidRDefault="00956074" w:rsidP="005B039B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  <w:highlight w:val="yellow"/>
              </w:rPr>
            </w:pPr>
          </w:p>
          <w:p w14:paraId="471532A0" w14:textId="63EC3BA8" w:rsidR="001667D4" w:rsidRPr="006B3CBD" w:rsidRDefault="001667D4" w:rsidP="00FB2700">
            <w:pPr>
              <w:spacing w:line="360" w:lineRule="auto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r w:rsidRPr="006B3CBD">
              <w:rPr>
                <w:rFonts w:ascii="Tahoma" w:eastAsia="Tahoma" w:hAnsi="Tahoma" w:cs="Tahoma"/>
                <w:color w:val="808080"/>
                <w:sz w:val="18"/>
                <w:szCs w:val="18"/>
              </w:rPr>
              <w:t>Pomimo trudności rynkowych</w:t>
            </w:r>
            <w:r w:rsidR="00BB5533" w:rsidRPr="006B3CBD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</w:t>
            </w:r>
            <w:r w:rsidRPr="006B3CBD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wynikających </w:t>
            </w:r>
            <w:r w:rsidR="00544554" w:rsidRPr="006B3CBD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z zaburzonych łańcuchów dostaw sprzedaż w okresie </w:t>
            </w:r>
            <w:r w:rsidRPr="006B3CBD">
              <w:rPr>
                <w:rFonts w:ascii="Tahoma" w:eastAsia="Tahoma" w:hAnsi="Tahoma" w:cs="Tahoma"/>
                <w:color w:val="808080"/>
                <w:sz w:val="18"/>
                <w:szCs w:val="18"/>
              </w:rPr>
              <w:t>trzech kwartałów 2022 roku w ‎segmencie budowlanym była zauważalnie wyższa</w:t>
            </w:r>
            <w:r w:rsidR="002B77BF" w:rsidRPr="006B3CBD">
              <w:rPr>
                <w:rFonts w:ascii="Tahoma" w:eastAsia="Tahoma" w:hAnsi="Tahoma" w:cs="Tahoma"/>
                <w:color w:val="808080"/>
                <w:sz w:val="18"/>
                <w:szCs w:val="18"/>
              </w:rPr>
              <w:t>,</w:t>
            </w:r>
            <w:r w:rsidRPr="006B3CBD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niż w analogicznym okresie roku ‎poprzedniego. Wysoki portfel zamówień na początku 2022 roku, przemyślana ‎polityka zakupowa oraz sprzyjające warunki pogodowe pozwoliły na ‎zwiększenie przychodów o ponad 13%.‎</w:t>
            </w:r>
          </w:p>
          <w:p w14:paraId="13440D8D" w14:textId="77777777" w:rsidR="001667D4" w:rsidRPr="006B3CBD" w:rsidRDefault="001667D4" w:rsidP="00FB2700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34C8A381" w14:textId="2A26B403" w:rsidR="001667D4" w:rsidRPr="006B3CBD" w:rsidRDefault="001667D4" w:rsidP="00FB2700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‎W ostatnim kwartale obserwowaliśmy stabilizację cen kluczowych ‎asortymentów, a</w:t>
            </w:r>
            <w:r w:rsidR="00A477E4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 </w:t>
            </w:r>
            <w:r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w</w:t>
            </w:r>
            <w:r w:rsidR="00A477E4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 </w:t>
            </w:r>
            <w:r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niektórych przypadkach (m.in. stal) obniżenie cen, ‎w</w:t>
            </w:r>
            <w:r w:rsidR="00FB2700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 </w:t>
            </w:r>
            <w:r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porównaniu do poziomów odnotowanych kilka tygodni po wybuchu wojny. ‎Odpowiedzialna strategia kontraktacji oraz dopasowana strategia zakupowa ‎pozwoliła nam na ograniczenie strat związanych z</w:t>
            </w:r>
            <w:r w:rsidR="00303BED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 </w:t>
            </w:r>
            <w:r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aktualną sytuacją rynkową ‎do minimum. Budżety wszystkich realizowanych przez nas projektów są na ‎bieżąco aktualizowane, </w:t>
            </w:r>
            <w:r w:rsidR="00A477E4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a  </w:t>
            </w:r>
            <w:r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dzięki dobrej rentowności kontraktów na ‎ostatnich etapach realizacji rentowność portfela pozostaje stabilna. ‎</w:t>
            </w:r>
          </w:p>
          <w:p w14:paraId="7B140319" w14:textId="77777777" w:rsidR="001667D4" w:rsidRPr="006B3CBD" w:rsidRDefault="001667D4" w:rsidP="00FB2700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49C7D336" w14:textId="77777777" w:rsidR="001667D4" w:rsidRPr="006B3CBD" w:rsidRDefault="001667D4" w:rsidP="00FB2700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 okresie trzech kwartałów 2022 roku pozyskaliśmy kontrakty o wartości 4,6 ‎miliarda złotych. Portfel zamówień Grupy Budimex na koniec września 2022 ‎roku wyniósł 12,5 miliarda złotych i zabezpiecza front prac do końca 2023 roku. ‎</w:t>
            </w:r>
          </w:p>
          <w:p w14:paraId="11FEA5A6" w14:textId="77777777" w:rsidR="001667D4" w:rsidRPr="006B3CBD" w:rsidRDefault="001667D4" w:rsidP="00FB2700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71257B69" w14:textId="6A77D00C" w:rsidR="001667D4" w:rsidRPr="006B3CBD" w:rsidRDefault="001667D4" w:rsidP="00FB2700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Intensywna praca nad akwizycją nowych ‎projektów sprawiła, że ‎wartość projektów podpisanych </w:t>
            </w:r>
            <w:r w:rsidR="00403563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 październiku</w:t>
            </w:r>
            <w:r w:rsidR="00956074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2022 </w:t>
            </w:r>
            <w:r w:rsidR="00403563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roku </w:t>
            </w:r>
            <w:r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oraz oczekujących na podpisanie to ponad 3</w:t>
            </w:r>
            <w:r w:rsidR="00FB2700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 </w:t>
            </w:r>
            <w:r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‎miliardy złotych, co powinno pozwolić zapewnić stabilność portfela zamówień</w:t>
            </w:r>
            <w:r w:rsidR="001B1BBC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.</w:t>
            </w:r>
            <w:r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‎ ‎Do tych kontraktów zalicza się m.in. budowa takich obiektów, jak droga ekspresowa S17 Piaski-Hrebenne (2 odcinki o łącznej wartości 845 milionów złotych), autostrada D1 Bratysława-</w:t>
            </w:r>
            <w:proofErr w:type="spellStart"/>
            <w:r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Triblavina</w:t>
            </w:r>
            <w:proofErr w:type="spellEnd"/>
            <w:r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na Słowacji (519 milionów złotych), Szpital Wojskowy w Krakowie (368 milionów złotych) czy linia kolejowa 104 Chabówka-Nowy Sącz (366 milionów złotych).</w:t>
            </w:r>
          </w:p>
          <w:p w14:paraId="45FC6E7E" w14:textId="77777777" w:rsidR="001667D4" w:rsidRPr="006B3CBD" w:rsidRDefault="001667D4" w:rsidP="00FB2700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0027C1A7" w14:textId="0229DA18" w:rsidR="001667D4" w:rsidRPr="006B3CBD" w:rsidRDefault="001667D4" w:rsidP="00FB2700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Grupa Budimex zakończyła </w:t>
            </w:r>
            <w:r w:rsidR="002B77BF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trzeci</w:t>
            </w:r>
            <w:r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kwartał 2022 roku z pozycją gotówkową ‎netto na poziomie 2,</w:t>
            </w:r>
            <w:r w:rsidR="00956074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2</w:t>
            </w:r>
            <w:r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303BED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m</w:t>
            </w:r>
            <w:r w:rsidR="00303BED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ld</w:t>
            </w:r>
            <w:r w:rsidR="00303BED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złotych. W czerwcu 2022 r. wypłaciliśmy ‎pozostałą dywidendę za rok 2021 w wysokości 23,47 zł w przeliczeniu na ‎jedną akcję. Tym samym łączna dywidenda za rok 2021 przypadająca na ‎jedną akcję wyniosła rekordowe 38,37 zł. ‎</w:t>
            </w:r>
          </w:p>
          <w:p w14:paraId="23AEB0E0" w14:textId="368290A2" w:rsidR="009C59A0" w:rsidRPr="006B3CBD" w:rsidRDefault="0001727E" w:rsidP="00D4399C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6B3CBD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F8B69C2" wp14:editId="12BB66F5">
                      <wp:simplePos x="0" y="0"/>
                      <wp:positionH relativeFrom="margin">
                        <wp:align>center</wp:align>
                      </wp:positionH>
                      <wp:positionV relativeFrom="page">
                        <wp:posOffset>9931207</wp:posOffset>
                      </wp:positionV>
                      <wp:extent cx="6487795" cy="244475"/>
                      <wp:effectExtent l="0" t="0" r="0" b="3175"/>
                      <wp:wrapNone/>
                      <wp:docPr id="12" name="Pole tekstow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87795" cy="244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C54039" w14:textId="77777777" w:rsidR="0001727E" w:rsidRPr="002B1C9B" w:rsidRDefault="0001727E" w:rsidP="0001727E">
                                  <w:pPr>
                                    <w:rPr>
                                      <w:rFonts w:ascii="Tahoma" w:hAnsi="Tahoma" w:cs="Tahoma"/>
                                      <w:i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</w:pPr>
                                  <w:r w:rsidRPr="002B1C9B">
                                    <w:rPr>
                                      <w:rFonts w:ascii="Tahoma" w:hAnsi="Tahoma" w:cs="Tahoma"/>
                                      <w:i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  <w:t xml:space="preserve">*dane pro-forma, sporządzone przy założeniu konsolidacji </w:t>
                                  </w:r>
                                  <w:r>
                                    <w:rPr>
                                      <w:rFonts w:ascii="Tahoma" w:hAnsi="Tahoma" w:cs="Tahoma"/>
                                      <w:i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  <w:t>Grupy FBSerwis od 01.01.2019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8B69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2" o:spid="_x0000_s1026" type="#_x0000_t202" style="position:absolute;left:0;text-align:left;margin-left:0;margin-top:782pt;width:510.85pt;height:19.25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" filled="f" stroked="f" strokeweight=".5pt">
                      <v:textbox>
                        <w:txbxContent>
                          <w:p w14:paraId="40C54039" w14:textId="77777777" w:rsidR="0001727E" w:rsidRPr="002B1C9B" w:rsidRDefault="0001727E" w:rsidP="0001727E">
                            <w:pPr>
                              <w:rPr>
                                <w:rFonts w:ascii="Tahoma" w:hAnsi="Tahoma" w:cs="Tahoma"/>
                                <w:i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2B1C9B">
                              <w:rPr>
                                <w:rFonts w:ascii="Tahoma" w:hAnsi="Tahoma" w:cs="Tahoma"/>
                                <w:i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*dane pro-forma, sporządzone przy założeniu konsolidacji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Grupy FBSerwis od 01.01.2019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  <w:p w14:paraId="0E5B09C5" w14:textId="4B26C902" w:rsidR="0001727E" w:rsidRPr="006B3CBD" w:rsidRDefault="00A77BCF" w:rsidP="00D4399C">
            <w:pPr>
              <w:spacing w:line="360" w:lineRule="auto"/>
              <w:jc w:val="both"/>
              <w:rPr>
                <w:rStyle w:val="Odwoaniedokomentarza"/>
              </w:rPr>
            </w:pPr>
            <w:r w:rsidRPr="006B3CBD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>Po trzech kwartałach</w:t>
            </w:r>
            <w:r w:rsidR="005539C6" w:rsidRPr="006B3CBD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770099" w:rsidRPr="006B3CBD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>Grup</w:t>
            </w:r>
            <w:r w:rsidR="00872C41" w:rsidRPr="006B3CBD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>a</w:t>
            </w:r>
            <w:r w:rsidR="00770099" w:rsidRPr="006B3CBD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 xml:space="preserve"> FBSerwis</w:t>
            </w:r>
            <w:r w:rsidR="00C93FA1" w:rsidRPr="006B3CBD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 xml:space="preserve"> utrzymała wysoki poziom przychodów ze sprzedaży przy zachowaniu dobrej rentowności</w:t>
            </w:r>
          </w:p>
          <w:p w14:paraId="307553FE" w14:textId="10AF7B93" w:rsidR="00D4399C" w:rsidRPr="006B3CBD" w:rsidRDefault="00B91D54" w:rsidP="00D4399C">
            <w:pPr>
              <w:spacing w:line="360" w:lineRule="auto"/>
              <w:jc w:val="both"/>
              <w:rPr>
                <w:rStyle w:val="Odwoaniedokomentarza"/>
              </w:rPr>
            </w:pPr>
            <w:r w:rsidRPr="006B3CBD">
              <w:rPr>
                <w:rStyle w:val="Odwoaniedokomentarza"/>
                <w:noProof/>
              </w:rPr>
              <w:drawing>
                <wp:anchor distT="0" distB="0" distL="114300" distR="114300" simplePos="0" relativeHeight="251715584" behindDoc="0" locked="0" layoutInCell="1" allowOverlap="1" wp14:anchorId="258655AD" wp14:editId="5E3C8A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188595</wp:posOffset>
                  </wp:positionV>
                  <wp:extent cx="4391025" cy="1746574"/>
                  <wp:effectExtent l="0" t="0" r="0" b="6350"/>
                  <wp:wrapNone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9061" cy="1749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668C2E" w14:textId="3C4726FD" w:rsidR="00D4399C" w:rsidRPr="006B3CBD" w:rsidRDefault="00D4399C" w:rsidP="00D4399C">
            <w:pPr>
              <w:spacing w:line="360" w:lineRule="auto"/>
              <w:jc w:val="center"/>
              <w:rPr>
                <w:rStyle w:val="Odwoaniedokomentarza"/>
              </w:rPr>
            </w:pPr>
          </w:p>
          <w:p w14:paraId="4B98D947" w14:textId="042ACE5F" w:rsidR="00B36AEC" w:rsidRPr="006B3CBD" w:rsidRDefault="00B36AEC" w:rsidP="0001727E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  <w:highlight w:val="yellow"/>
              </w:rPr>
            </w:pPr>
            <w:bookmarkStart w:id="1" w:name="_Hlk70347627"/>
          </w:p>
          <w:p w14:paraId="793BCDDA" w14:textId="4CDC86B4" w:rsidR="00A77BCF" w:rsidRPr="006B3CBD" w:rsidRDefault="00A77BCF" w:rsidP="0001727E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  <w:highlight w:val="yellow"/>
              </w:rPr>
            </w:pPr>
          </w:p>
          <w:p w14:paraId="43287CE2" w14:textId="5344ADFE" w:rsidR="00A77BCF" w:rsidRPr="006B3CBD" w:rsidRDefault="00A77BCF" w:rsidP="0001727E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  <w:highlight w:val="yellow"/>
              </w:rPr>
            </w:pPr>
          </w:p>
          <w:p w14:paraId="0CD3D878" w14:textId="5F9AFCF4" w:rsidR="00A77BCF" w:rsidRPr="006B3CBD" w:rsidRDefault="00A77BCF" w:rsidP="0001727E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  <w:highlight w:val="yellow"/>
              </w:rPr>
            </w:pPr>
          </w:p>
          <w:p w14:paraId="57E70889" w14:textId="0478A4E0" w:rsidR="00A77BCF" w:rsidRPr="006B3CBD" w:rsidRDefault="00A77BCF" w:rsidP="0001727E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  <w:highlight w:val="yellow"/>
              </w:rPr>
            </w:pPr>
          </w:p>
          <w:p w14:paraId="2359C61F" w14:textId="7380752A" w:rsidR="00A77BCF" w:rsidRPr="006B3CBD" w:rsidRDefault="00A77BCF" w:rsidP="0001727E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  <w:highlight w:val="yellow"/>
              </w:rPr>
            </w:pPr>
          </w:p>
          <w:p w14:paraId="221BBC6D" w14:textId="7231C867" w:rsidR="00A77BCF" w:rsidRPr="006B3CBD" w:rsidRDefault="00A77BCF" w:rsidP="0001727E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  <w:highlight w:val="yellow"/>
              </w:rPr>
            </w:pPr>
          </w:p>
          <w:p w14:paraId="7AE1FC45" w14:textId="77777777" w:rsidR="00A77BCF" w:rsidRPr="006B3CBD" w:rsidRDefault="00A77BCF" w:rsidP="0001727E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  <w:highlight w:val="yellow"/>
              </w:rPr>
            </w:pPr>
          </w:p>
          <w:p w14:paraId="7F8526D3" w14:textId="77777777" w:rsidR="0008413C" w:rsidRPr="006B3CBD" w:rsidRDefault="0008413C" w:rsidP="00D74729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bookmarkStart w:id="2" w:name="_Hlk116458715"/>
            <w:bookmarkStart w:id="3" w:name="_Hlk100758814"/>
            <w:bookmarkEnd w:id="1"/>
          </w:p>
          <w:p w14:paraId="2C8C8DB0" w14:textId="2E9E0727" w:rsidR="00D74729" w:rsidRPr="006B3CBD" w:rsidRDefault="00D74729" w:rsidP="00D74729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Przychody Grupy </w:t>
            </w:r>
            <w:proofErr w:type="spellStart"/>
            <w:r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FBSerwis</w:t>
            </w:r>
            <w:proofErr w:type="spellEnd"/>
            <w:r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, będącej kluczowym aktywem w ramach segmentu usługowego (wyniki części usługowej obejmują również działalności </w:t>
            </w:r>
            <w:r w:rsidR="00F35A29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kilku mniejszych spółek, w tym </w:t>
            </w:r>
            <w:r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Budimex Parking Wrocław)</w:t>
            </w:r>
            <w:r w:rsidR="00013F8F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</w:t>
            </w:r>
            <w:r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wyniosły </w:t>
            </w:r>
            <w:r w:rsidR="00CE42FB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573</w:t>
            </w:r>
            <w:r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milion</w:t>
            </w:r>
            <w:r w:rsidR="00CE42FB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y</w:t>
            </w:r>
            <w:r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złotych i były </w:t>
            </w:r>
            <w:r w:rsidR="00872C41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nieco wyższe niż w analogicznym</w:t>
            </w:r>
            <w:r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okres</w:t>
            </w:r>
            <w:r w:rsidR="00872C41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ie</w:t>
            </w:r>
            <w:r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roku poprzedniego. </w:t>
            </w:r>
            <w:bookmarkStart w:id="4" w:name="_Hlk108780487"/>
            <w:r w:rsidR="009C5A96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Zysk operacyjny</w:t>
            </w:r>
            <w:r w:rsidR="00CE42FB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9C5A96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Grupy </w:t>
            </w:r>
            <w:proofErr w:type="spellStart"/>
            <w:r w:rsidR="009C5A96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FBSerwis</w:t>
            </w:r>
            <w:proofErr w:type="spellEnd"/>
            <w:r w:rsidR="009C5A96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wyniósł </w:t>
            </w:r>
            <w:r w:rsidR="00195E85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64</w:t>
            </w:r>
            <w:r w:rsidR="009C5A96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milion</w:t>
            </w:r>
            <w:r w:rsidR="00195E85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y złotych</w:t>
            </w:r>
            <w:r w:rsidR="009C5A96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przy rentowności 1</w:t>
            </w:r>
            <w:r w:rsidR="00195E85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1</w:t>
            </w:r>
            <w:r w:rsidR="009C5A96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,2% w porównaniu do </w:t>
            </w:r>
            <w:r w:rsidR="00195E85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13</w:t>
            </w:r>
            <w:r w:rsidR="009C5A96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</w:t>
            </w:r>
            <w:r w:rsidR="00195E85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8</w:t>
            </w:r>
            <w:r w:rsidR="009C5A96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%</w:t>
            </w:r>
            <w:r w:rsidR="003252BD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w</w:t>
            </w:r>
            <w:r w:rsidR="007163CA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 </w:t>
            </w:r>
            <w:r w:rsidR="003252BD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9C5A96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analogicznym okresie roku poprzednieg</w:t>
            </w:r>
            <w:r w:rsidR="00195E85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o, przy czym w samym trzecim kwartale rentowność uległa poprawie i była wyższa niż w trzecim kwartale roku poprzedniego. </w:t>
            </w:r>
          </w:p>
          <w:p w14:paraId="1DF9F927" w14:textId="77777777" w:rsidR="00B91D54" w:rsidRPr="006B3CBD" w:rsidRDefault="00B91D54" w:rsidP="00D74729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272464FE" w14:textId="484A7215" w:rsidR="00D74729" w:rsidRPr="006B3CBD" w:rsidRDefault="00195E85" w:rsidP="00D74729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Intensywna praca nad pozyskiwaniem kolejnych zleceń, szczególnie w segmencie utrzymania infrastruktury, pozwoliła znacząco rozbudować portfel zamówień</w:t>
            </w:r>
            <w:r w:rsidR="00A477E4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</w:t>
            </w:r>
            <w:r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co powinno przełożyć się na wzrost przychodów w kolejnych </w:t>
            </w:r>
            <w:bookmarkStart w:id="5" w:name="_Hlk116458730"/>
            <w:bookmarkEnd w:id="2"/>
            <w:r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kwartałach. </w:t>
            </w:r>
            <w:r w:rsidR="005A462A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Kontynuujemy</w:t>
            </w:r>
            <w:r w:rsidR="00D74729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rozpoczęte </w:t>
            </w:r>
            <w:r w:rsidR="00D74729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inwestycj</w:t>
            </w:r>
            <w:r w:rsidR="005A462A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e</w:t>
            </w:r>
            <w:r w:rsidR="00D74729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w rozbudowę istniejących instalacji przetwarzania odpadów oraz składowisk</w:t>
            </w:r>
            <w:r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. Jednocześnie integrujemy </w:t>
            </w:r>
            <w:r w:rsidR="009A2485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 ramach struktury Grupy podmiot przejęty kilka miesięcy temu, wzmacniając tym samym</w:t>
            </w:r>
            <w:r w:rsidR="005F673F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naszą pozycję w segmencie usług środowiskowych. </w:t>
            </w:r>
            <w:bookmarkEnd w:id="4"/>
          </w:p>
          <w:bookmarkEnd w:id="3"/>
          <w:bookmarkEnd w:id="5"/>
          <w:p w14:paraId="3914380D" w14:textId="43E69953" w:rsidR="00145BBB" w:rsidRPr="006B3CBD" w:rsidRDefault="00145BBB" w:rsidP="003C6385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</w:p>
          <w:p w14:paraId="0094EEF5" w14:textId="56C4D91F" w:rsidR="00DB6966" w:rsidRPr="006B3CBD" w:rsidRDefault="00DB6966" w:rsidP="003C6385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  <w:r w:rsidRPr="006B3CB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Prognoza rynku</w:t>
            </w:r>
          </w:p>
          <w:p w14:paraId="58CA5FCA" w14:textId="77777777" w:rsidR="00DB6966" w:rsidRPr="006B3CBD" w:rsidRDefault="00DB6966" w:rsidP="003C6385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</w:p>
          <w:p w14:paraId="09D89EB6" w14:textId="5E797138" w:rsidR="006D546B" w:rsidRPr="006B3CBD" w:rsidRDefault="00C54EB3" w:rsidP="003C6385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 kolejnych kwartałach z uwagą obserwować będziemy dalszy rozwój sytuacji makroekonomicznej. </w:t>
            </w:r>
          </w:p>
          <w:p w14:paraId="27E044C4" w14:textId="77777777" w:rsidR="00747599" w:rsidRPr="006B3CBD" w:rsidRDefault="00747599" w:rsidP="00747599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6B2693A7" w14:textId="1AA0743B" w:rsidR="00747599" w:rsidRPr="006B3CBD" w:rsidRDefault="00CF024B" w:rsidP="00747599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Aktualny portfel Grupy Budimex zamówień</w:t>
            </w:r>
            <w:r w:rsidR="00747599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9A2485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 pełni </w:t>
            </w:r>
            <w:r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zabezpiecza</w:t>
            </w:r>
            <w:r w:rsidR="00747599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front robót do końca</w:t>
            </w:r>
            <w:r w:rsidR="006B683D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747599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2023 roku</w:t>
            </w:r>
            <w:r w:rsidR="00013F8F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</w:t>
            </w:r>
            <w:r w:rsidR="005F673F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a nowo </w:t>
            </w:r>
            <w:r w:rsidR="009A2485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pozyskiwane</w:t>
            </w:r>
            <w:r w:rsidR="005F673F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kontrakty</w:t>
            </w:r>
            <w:r w:rsidR="009A2485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(w szczególności zlecenia w formule „design and </w:t>
            </w:r>
            <w:proofErr w:type="spellStart"/>
            <w:r w:rsidR="009A2485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lastRenderedPageBreak/>
              <w:t>build</w:t>
            </w:r>
            <w:proofErr w:type="spellEnd"/>
            <w:r w:rsidR="009A2485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”)</w:t>
            </w:r>
            <w:r w:rsidR="005F673F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budują mocne fundamenty działalności na lata 2024-2025.</w:t>
            </w:r>
            <w:r w:rsidR="00E37721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To szczególnie ważne w perspektywie spowolnienia gospodarczego oraz planowanego ograniczenia nowych projektów rozstrzyganych przez </w:t>
            </w:r>
            <w:r w:rsidR="002B77BF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część </w:t>
            </w:r>
            <w:r w:rsidR="00E37721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naszych </w:t>
            </w:r>
            <w:r w:rsidR="006B3CBD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Zamawiających,</w:t>
            </w:r>
            <w:r w:rsidR="00E37721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czyli </w:t>
            </w:r>
            <w:r w:rsidR="002B77BF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samorządy</w:t>
            </w:r>
            <w:r w:rsidR="00E37721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oraz PKP PLK.  </w:t>
            </w:r>
          </w:p>
          <w:p w14:paraId="102B9CE3" w14:textId="742E5F4B" w:rsidR="001931BE" w:rsidRPr="006B3CBD" w:rsidRDefault="001931BE" w:rsidP="00747599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71414C9D" w14:textId="6446B6D5" w:rsidR="00DF554A" w:rsidRPr="006B3CBD" w:rsidRDefault="001931BE" w:rsidP="00DF554A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Wskaźniki inflacji pozostają wysokie a większość prognoz na najbliższe kwartały ulega rewizji w górę. Z uwagą obserwujemy ceny energii oraz paliw, które mają kluczowe znaczenie dla branży budowlanej i całej gospodarki. Dlatego tak ważna jest dalsza praca nad mechanizmami waloryzacji długoterminowych zleceń. </w:t>
            </w:r>
          </w:p>
          <w:p w14:paraId="2BA4EDBE" w14:textId="77777777" w:rsidR="00DF554A" w:rsidRPr="006B3CBD" w:rsidRDefault="00DF554A" w:rsidP="00747599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1A55C7A6" w14:textId="78CE28DF" w:rsidR="00564E8C" w:rsidRPr="006B3CBD" w:rsidRDefault="00876905" w:rsidP="00B91D54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Przygotowujemy się do realizacji pierwszych istotnych projektów poza granicami kraju. Największy z nich to budowa</w:t>
            </w:r>
            <w:r w:rsidR="00407F67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autostrady D1 Bratysława-</w:t>
            </w:r>
            <w:proofErr w:type="spellStart"/>
            <w:r w:rsidR="00407F67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Triblavina</w:t>
            </w:r>
            <w:proofErr w:type="spellEnd"/>
            <w:r w:rsidR="00407F67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w formule </w:t>
            </w:r>
            <w:r w:rsidR="001C1EA7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„</w:t>
            </w:r>
            <w:r w:rsidR="00A477E4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design and </w:t>
            </w:r>
            <w:proofErr w:type="spellStart"/>
            <w:r w:rsidR="00A477E4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build</w:t>
            </w:r>
            <w:proofErr w:type="spellEnd"/>
            <w:r w:rsidR="001C1EA7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”</w:t>
            </w:r>
            <w:r w:rsidR="00407F67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. </w:t>
            </w:r>
            <w:r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 ostatnim czasie </w:t>
            </w:r>
            <w:r w:rsidR="004319E6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zajęliśmy również pierwsze miejsce w przetargu na przebudowę infrastruktury kolejowej na rynku czeskim</w:t>
            </w:r>
            <w:r w:rsidR="00564E8C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4319E6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o </w:t>
            </w:r>
            <w:r w:rsidR="00B04EF4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łącznej </w:t>
            </w:r>
            <w:r w:rsidR="004319E6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wartości ok. </w:t>
            </w:r>
            <w:r w:rsidR="00B04EF4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66</w:t>
            </w:r>
            <w:r w:rsidR="004319E6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2B77BF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mln</w:t>
            </w:r>
            <w:r w:rsidR="004319E6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B04EF4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złotych. </w:t>
            </w:r>
          </w:p>
          <w:p w14:paraId="18218EAC" w14:textId="5A6B125B" w:rsidR="004B3629" w:rsidRPr="006B3CBD" w:rsidRDefault="004B3629" w:rsidP="00407F67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58AC1DE6" w14:textId="4455A2DA" w:rsidR="004B3629" w:rsidRPr="006B3CBD" w:rsidRDefault="004B3629" w:rsidP="00407F67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  <w:r w:rsidRPr="006B3CB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Innowacje</w:t>
            </w:r>
          </w:p>
          <w:p w14:paraId="24555F69" w14:textId="7A3A0D4B" w:rsidR="004B3629" w:rsidRPr="006B3CBD" w:rsidRDefault="004B3629" w:rsidP="00407F67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</w:p>
          <w:p w14:paraId="7376A0B1" w14:textId="6304FC63" w:rsidR="004B3629" w:rsidRPr="006B3CBD" w:rsidRDefault="004B3629" w:rsidP="004B3629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Budimex we współpracy z Krakowskim Parkiem Technologicznym przystąpił do programu akceleracyjnego dla startupów zagranicznych - Poland </w:t>
            </w:r>
            <w:proofErr w:type="spellStart"/>
            <w:r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Prize</w:t>
            </w:r>
            <w:proofErr w:type="spellEnd"/>
            <w:r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– dofinansowywanego ze środków Polskiej Agencji Rozwoju Przedsiębiorczości.</w:t>
            </w:r>
          </w:p>
          <w:p w14:paraId="75516AA3" w14:textId="77777777" w:rsidR="004B3629" w:rsidRPr="006B3CBD" w:rsidRDefault="004B3629" w:rsidP="004B3629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73446D5D" w14:textId="7957C8BC" w:rsidR="004B3629" w:rsidRPr="006B3CBD" w:rsidRDefault="004B3629" w:rsidP="004B3629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Kontynuujemy współpracę ze startupami, które zostały nagrodzone w I edycji konkursu Budimex Startup Challenge. W dalszym ciągu wiodącymi tematami w obszarze innowacji są: rozwiązania dla energetyki, odnawialne źródła energii oraz ekologiczne technologie dla budownictwa. </w:t>
            </w:r>
          </w:p>
          <w:p w14:paraId="736AFC89" w14:textId="77777777" w:rsidR="000F734A" w:rsidRPr="006B3CBD" w:rsidRDefault="000F734A" w:rsidP="00BE7948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0958C28B" w14:textId="6D109F8A" w:rsidR="000E7831" w:rsidRPr="006B3CBD" w:rsidRDefault="000E7831" w:rsidP="00053E58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  <w:r w:rsidRPr="006B3CB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Działania CSR </w:t>
            </w:r>
          </w:p>
          <w:p w14:paraId="5FE7F591" w14:textId="77777777" w:rsidR="000E7831" w:rsidRPr="006B3CBD" w:rsidRDefault="000E7831" w:rsidP="00053E58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561B535E" w14:textId="5BD72862" w:rsidR="000E7831" w:rsidRPr="006B3CBD" w:rsidRDefault="000E7831" w:rsidP="000E7831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26 lipca 2022 r. odbył się uroczysty finał akcji Dom z Serca 2 w Brusach na Pomorzu, w</w:t>
            </w:r>
            <w:r w:rsidR="00303BED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 </w:t>
            </w:r>
            <w:r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ramach której dokończono do stanu „pod klucz” budowę domu dla 8-osobowej rodziny. Dzięki wsparciu wszystkich Partnerów akcji, spełniło się marzenie Pani Iwony, Pana Krzysztofa oraz ich szóstki dzieci.  Budujemy 41. i 42. Strefę Rodzica w szpitalach w Ełku i w Bydgoszczy. </w:t>
            </w:r>
          </w:p>
          <w:p w14:paraId="2711B9E6" w14:textId="4D6F5A43" w:rsidR="000E7831" w:rsidRPr="006B3CBD" w:rsidRDefault="000E7831" w:rsidP="00053E58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4A8F8556" w14:textId="1114D06C" w:rsidR="000E7831" w:rsidRPr="006B3CBD" w:rsidRDefault="000E7831" w:rsidP="00053E58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 trzecim kwartale nasze budowy zdobyły kilka cennych nagród branżowych: 7 nagród w konkursie „Budowa Roku 2021”, potocznie nazywanych Oskarami budowlanymi i dwie nagrody „Modernizacja Roku”. Wśród nagrodzonych inwestycji znalazło się m.in.: Centrum Badań i Rozwoju PKN Orlen w Płocku, dworzec PKP S</w:t>
            </w:r>
            <w:r w:rsidR="00A5476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.</w:t>
            </w:r>
            <w:r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A. w Białymstoku i Młyny Rothera w Bydgoszczy. </w:t>
            </w:r>
          </w:p>
          <w:p w14:paraId="4F746225" w14:textId="3EE6049A" w:rsidR="002B77BF" w:rsidRPr="006B3CBD" w:rsidRDefault="002B77BF" w:rsidP="00053E58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7213B702" w14:textId="7AD3E121" w:rsidR="003A74B7" w:rsidRPr="006B3CBD" w:rsidRDefault="000E7831" w:rsidP="000E7831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lastRenderedPageBreak/>
              <w:t xml:space="preserve">Strategia CSR firmy Budimex zakłada m.in. </w:t>
            </w:r>
            <w:r w:rsidR="008E2FA2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b</w:t>
            </w:r>
            <w:r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ycie dobrym sąsiadem, gościem i partnerem dla społeczności lokalnych.  W ciągu III kwartałów 2022 r. wsparliśmy charytatywnie otoczenia budów w ramach 41 projektów w: Ełku, Szczecinie, Bydgoszczy, Szczecinie, Krakowie, Warszawie, Dolicach k. Szczecina, Białymstoku, Narewce k.  Hajnówki, Czechowicach – Dziedzicach, Suwałkach, Markach k. Warszawy, Słupcy k. Konina i</w:t>
            </w:r>
            <w:r w:rsidR="00303BED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 </w:t>
            </w:r>
            <w:r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Strachocinie. Łączna wartość pomocy wyniosł</w:t>
            </w:r>
            <w:r w:rsidR="008E2FA2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a</w:t>
            </w:r>
            <w:r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ponad 1 mln złotych.</w:t>
            </w:r>
          </w:p>
          <w:p w14:paraId="44BE80C7" w14:textId="18F15549" w:rsidR="00DE4D7D" w:rsidRPr="006B3CBD" w:rsidRDefault="00DE4D7D" w:rsidP="00053E58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</w:tc>
        <w:tc>
          <w:tcPr>
            <w:tcW w:w="3118" w:type="dxa"/>
          </w:tcPr>
          <w:p w14:paraId="5B5F2F21" w14:textId="2DED115D" w:rsidR="00D824D3" w:rsidRPr="006B3CBD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6D9FE0D9" w14:textId="77777777" w:rsidR="00D824D3" w:rsidRPr="006B3CBD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2981D933" w14:textId="77777777" w:rsidR="00D824D3" w:rsidRPr="006B3CBD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75763072" w14:textId="77777777" w:rsidR="00D824D3" w:rsidRPr="006B3CBD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522D8B16" w14:textId="77777777" w:rsidR="00D824D3" w:rsidRPr="006B3CBD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383DA6A1" w14:textId="77777777" w:rsidR="00D824D3" w:rsidRPr="006B3CBD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302E4DF3" w14:textId="77777777" w:rsidR="00D824D3" w:rsidRPr="006B3CBD" w:rsidRDefault="00D824D3">
            <w:pPr>
              <w:spacing w:after="120" w:line="360" w:lineRule="auto"/>
              <w:rPr>
                <w:rFonts w:ascii="Verdana" w:eastAsia="Verdana" w:hAnsi="Verdana" w:cs="Verdana"/>
                <w:bCs/>
                <w:color w:val="FFC000"/>
                <w:sz w:val="20"/>
                <w:szCs w:val="20"/>
              </w:rPr>
            </w:pPr>
          </w:p>
          <w:p w14:paraId="7B71267C" w14:textId="77777777" w:rsidR="00D824D3" w:rsidRPr="006B3CBD" w:rsidRDefault="00B63B5B">
            <w:pPr>
              <w:spacing w:after="120" w:line="360" w:lineRule="auto"/>
              <w:rPr>
                <w:rFonts w:ascii="Verdana" w:eastAsia="Verdana" w:hAnsi="Verdana" w:cs="Verdana"/>
                <w:bCs/>
                <w:color w:val="FFC000"/>
                <w:sz w:val="20"/>
                <w:szCs w:val="20"/>
              </w:rPr>
            </w:pPr>
            <w:r w:rsidRPr="006B3CBD">
              <w:rPr>
                <w:rFonts w:ascii="Verdana" w:eastAsia="Verdana" w:hAnsi="Verdana" w:cs="Verdana"/>
                <w:bCs/>
                <w:color w:val="FFC000"/>
                <w:sz w:val="20"/>
                <w:szCs w:val="20"/>
              </w:rPr>
              <w:t xml:space="preserve">Kontakt: </w:t>
            </w:r>
          </w:p>
          <w:p w14:paraId="3EDE60A1" w14:textId="45C07FB4" w:rsidR="00D824D3" w:rsidRPr="006B3CBD" w:rsidRDefault="00B63B5B">
            <w:pPr>
              <w:spacing w:after="120" w:line="360" w:lineRule="auto"/>
              <w:rPr>
                <w:rFonts w:ascii="Verdana" w:eastAsia="Verdana" w:hAnsi="Verdana" w:cs="Verdana"/>
                <w:bCs/>
                <w:color w:val="808080"/>
                <w:sz w:val="18"/>
                <w:szCs w:val="18"/>
              </w:rPr>
            </w:pPr>
            <w:r w:rsidRPr="006B3CBD">
              <w:rPr>
                <w:rFonts w:ascii="Verdana" w:eastAsia="Verdana" w:hAnsi="Verdana" w:cs="Verdana"/>
                <w:bCs/>
                <w:color w:val="808080"/>
                <w:sz w:val="18"/>
                <w:szCs w:val="18"/>
              </w:rPr>
              <w:t>Michał Wrzosek</w:t>
            </w:r>
            <w:r w:rsidR="0053503C" w:rsidRPr="006B3CBD">
              <w:rPr>
                <w:rFonts w:ascii="Verdana" w:eastAsia="Verdana" w:hAnsi="Verdana" w:cs="Verdana"/>
                <w:bCs/>
                <w:color w:val="808080"/>
                <w:sz w:val="18"/>
                <w:szCs w:val="18"/>
              </w:rPr>
              <w:t xml:space="preserve"> -</w:t>
            </w:r>
            <w:r w:rsidRPr="006B3CBD">
              <w:rPr>
                <w:rFonts w:ascii="Verdana" w:eastAsia="Verdana" w:hAnsi="Verdana" w:cs="Verdana"/>
                <w:bCs/>
                <w:color w:val="808080"/>
                <w:sz w:val="18"/>
                <w:szCs w:val="18"/>
              </w:rPr>
              <w:t xml:space="preserve"> Rzecznik Prasowy</w:t>
            </w:r>
          </w:p>
          <w:p w14:paraId="742DC472" w14:textId="77777777" w:rsidR="00D824D3" w:rsidRPr="006B3CBD" w:rsidRDefault="00B63B5B">
            <w:pPr>
              <w:spacing w:line="360" w:lineRule="auto"/>
              <w:rPr>
                <w:rFonts w:ascii="Verdana" w:eastAsia="Verdana" w:hAnsi="Verdana" w:cs="Verdana"/>
                <w:bCs/>
                <w:color w:val="808080"/>
                <w:sz w:val="18"/>
                <w:szCs w:val="18"/>
              </w:rPr>
            </w:pPr>
            <w:r w:rsidRPr="006B3CBD">
              <w:rPr>
                <w:rFonts w:ascii="Verdana" w:eastAsia="Verdana" w:hAnsi="Verdana" w:cs="Verdana"/>
                <w:bCs/>
                <w:color w:val="808080"/>
                <w:sz w:val="18"/>
                <w:szCs w:val="18"/>
              </w:rPr>
              <w:t xml:space="preserve">tel. (22) 62 36 164, 512 478 522, </w:t>
            </w:r>
          </w:p>
          <w:p w14:paraId="1AD63FF4" w14:textId="77777777" w:rsidR="00D824D3" w:rsidRPr="006B3CBD" w:rsidRDefault="009711BB">
            <w:pPr>
              <w:spacing w:line="360" w:lineRule="auto"/>
              <w:rPr>
                <w:rFonts w:ascii="Verdana" w:eastAsia="Verdana" w:hAnsi="Verdana" w:cs="Verdana"/>
                <w:bCs/>
                <w:color w:val="808080"/>
                <w:sz w:val="18"/>
                <w:szCs w:val="18"/>
              </w:rPr>
            </w:pPr>
            <w:hyperlink r:id="rId13">
              <w:r w:rsidR="00B63B5B" w:rsidRPr="006B3CBD">
                <w:rPr>
                  <w:rFonts w:ascii="Verdana" w:eastAsia="Verdana" w:hAnsi="Verdana" w:cs="Verdana"/>
                  <w:bCs/>
                  <w:color w:val="808080"/>
                  <w:sz w:val="18"/>
                  <w:szCs w:val="18"/>
                  <w:u w:val="single"/>
                </w:rPr>
                <w:t>michal.wrzosek@budimex.pl</w:t>
              </w:r>
            </w:hyperlink>
          </w:p>
          <w:p w14:paraId="286034E8" w14:textId="77777777" w:rsidR="00D824D3" w:rsidRPr="006B3CBD" w:rsidRDefault="009711BB">
            <w:pPr>
              <w:spacing w:before="280" w:after="280" w:line="360" w:lineRule="auto"/>
              <w:jc w:val="both"/>
              <w:rPr>
                <w:rFonts w:ascii="Tahoma" w:eastAsia="Tahoma" w:hAnsi="Tahoma" w:cs="Tahoma"/>
                <w:bCs/>
                <w:color w:val="7F7F7F"/>
                <w:sz w:val="18"/>
                <w:szCs w:val="18"/>
              </w:rPr>
            </w:pPr>
            <w:hyperlink r:id="rId14">
              <w:r w:rsidR="00B63B5B" w:rsidRPr="006B3CBD">
                <w:rPr>
                  <w:rFonts w:ascii="Tahoma" w:eastAsia="Tahoma" w:hAnsi="Tahoma" w:cs="Tahoma"/>
                  <w:bCs/>
                  <w:color w:val="7F7F7F"/>
                  <w:sz w:val="18"/>
                  <w:szCs w:val="18"/>
                  <w:u w:val="single"/>
                </w:rPr>
                <w:t>www.media.budimex.pl</w:t>
              </w:r>
            </w:hyperlink>
          </w:p>
          <w:p w14:paraId="0DDA63C7" w14:textId="77777777" w:rsidR="00D824D3" w:rsidRPr="006B3CBD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0E328550" w14:textId="77777777" w:rsidR="00D824D3" w:rsidRPr="006B3CBD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4331147F" w14:textId="77777777" w:rsidR="00D824D3" w:rsidRPr="006B3CBD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4CEC1C16" w14:textId="77777777" w:rsidR="00D824D3" w:rsidRPr="006B3CBD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</w:tc>
      </w:tr>
    </w:tbl>
    <w:p w14:paraId="6E7F5698" w14:textId="7B88D0D5" w:rsidR="00D824D3" w:rsidRPr="006B3CBD" w:rsidRDefault="00D824D3" w:rsidP="00AD7834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sectPr w:rsidR="00D824D3" w:rsidRPr="006B3CBD" w:rsidSect="001E124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133" w:bottom="1417" w:left="1417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C7486" w14:textId="77777777" w:rsidR="00107582" w:rsidRDefault="00107582">
      <w:pPr>
        <w:spacing w:after="0" w:line="240" w:lineRule="auto"/>
      </w:pPr>
      <w:r>
        <w:separator/>
      </w:r>
    </w:p>
  </w:endnote>
  <w:endnote w:type="continuationSeparator" w:id="0">
    <w:p w14:paraId="6D2EEFC0" w14:textId="77777777" w:rsidR="00107582" w:rsidRDefault="00107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B00D7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1B0B8" w14:textId="77777777" w:rsidR="00B91D54" w:rsidRDefault="00B91D54" w:rsidP="0037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ahoma" w:hAnsi="Tahoma" w:cs="Tahoma"/>
        <w:color w:val="7F7F7F" w:themeColor="text1" w:themeTint="80"/>
        <w:sz w:val="12"/>
        <w:szCs w:val="12"/>
      </w:rPr>
    </w:pPr>
  </w:p>
  <w:p w14:paraId="51F15B6A" w14:textId="77777777" w:rsidR="00D824D3" w:rsidRDefault="00D824D3" w:rsidP="00B91D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D555D" w14:textId="77777777" w:rsidR="00B91D54" w:rsidRDefault="00B91D54" w:rsidP="00B91D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ahoma" w:hAnsi="Tahoma" w:cs="Tahoma"/>
        <w:color w:val="7F7F7F" w:themeColor="text1" w:themeTint="80"/>
        <w:sz w:val="12"/>
        <w:szCs w:val="12"/>
      </w:rPr>
    </w:pPr>
  </w:p>
  <w:p w14:paraId="31108A7B" w14:textId="77777777" w:rsidR="00B91D54" w:rsidRDefault="00B91D54" w:rsidP="00B91D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ahoma" w:hAnsi="Tahoma" w:cs="Tahoma"/>
        <w:color w:val="7F7F7F" w:themeColor="text1" w:themeTint="80"/>
        <w:sz w:val="12"/>
        <w:szCs w:val="12"/>
      </w:rPr>
    </w:pPr>
    <w:r w:rsidRPr="003C2C1B">
      <w:rPr>
        <w:rFonts w:ascii="Tahoma" w:hAnsi="Tahoma" w:cs="Tahoma"/>
        <w:color w:val="7F7F7F" w:themeColor="text1" w:themeTint="80"/>
        <w:sz w:val="12"/>
        <w:szCs w:val="12"/>
      </w:rPr>
      <w:t>*przypadający akcjonariuszom Jednostki Dominującej</w:t>
    </w:r>
    <w:r>
      <w:rPr>
        <w:rFonts w:ascii="Tahoma" w:hAnsi="Tahoma" w:cs="Tahoma"/>
        <w:color w:val="7F7F7F" w:themeColor="text1" w:themeTint="80"/>
        <w:sz w:val="12"/>
        <w:szCs w:val="12"/>
      </w:rPr>
      <w:t xml:space="preserve"> </w:t>
    </w:r>
  </w:p>
  <w:p w14:paraId="629D6547" w14:textId="77777777" w:rsidR="00B91D54" w:rsidRPr="00307B02" w:rsidRDefault="00B91D54" w:rsidP="00B91D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ahoma" w:hAnsi="Tahoma" w:cs="Tahoma"/>
        <w:color w:val="7F7F7F" w:themeColor="text1" w:themeTint="80"/>
        <w:sz w:val="12"/>
        <w:szCs w:val="12"/>
      </w:rPr>
    </w:pPr>
    <w:r>
      <w:rPr>
        <w:rFonts w:ascii="Tahoma" w:hAnsi="Tahoma" w:cs="Tahoma"/>
        <w:color w:val="7F7F7F" w:themeColor="text1" w:themeTint="80"/>
        <w:sz w:val="12"/>
        <w:szCs w:val="12"/>
      </w:rPr>
      <w:t>*</w:t>
    </w:r>
    <w:r w:rsidRPr="00307B02">
      <w:rPr>
        <w:rFonts w:ascii="Tahoma" w:hAnsi="Tahoma" w:cs="Tahoma"/>
        <w:color w:val="7F7F7F" w:themeColor="text1" w:themeTint="80"/>
        <w:sz w:val="12"/>
        <w:szCs w:val="12"/>
      </w:rPr>
      <w:t>*</w:t>
    </w:r>
    <w:r w:rsidRPr="00307B02">
      <w:rPr>
        <w:rFonts w:ascii="Tahoma" w:eastAsia="Tahoma" w:hAnsi="Tahoma" w:cs="Tahoma"/>
        <w:bCs/>
        <w:color w:val="7F7F7F" w:themeColor="text1" w:themeTint="80"/>
        <w:sz w:val="12"/>
        <w:szCs w:val="12"/>
      </w:rPr>
      <w:t xml:space="preserve"> rozliczeni</w:t>
    </w:r>
    <w:r>
      <w:rPr>
        <w:rFonts w:ascii="Tahoma" w:eastAsia="Tahoma" w:hAnsi="Tahoma" w:cs="Tahoma"/>
        <w:bCs/>
        <w:color w:val="7F7F7F" w:themeColor="text1" w:themeTint="80"/>
        <w:sz w:val="12"/>
        <w:szCs w:val="12"/>
      </w:rPr>
      <w:t>e</w:t>
    </w:r>
    <w:r w:rsidRPr="00307B02">
      <w:rPr>
        <w:rFonts w:ascii="Tahoma" w:eastAsia="Tahoma" w:hAnsi="Tahoma" w:cs="Tahoma"/>
        <w:bCs/>
        <w:color w:val="7F7F7F" w:themeColor="text1" w:themeTint="80"/>
        <w:sz w:val="12"/>
        <w:szCs w:val="12"/>
      </w:rPr>
      <w:t xml:space="preserve"> wyniku na transakcjach pomiędzy segmentem budowlanym i deweloperskim w wysokości 68 milionów złotych w związku ze sprzedażą Budimex Nieruchomości</w:t>
    </w:r>
  </w:p>
  <w:p w14:paraId="2E18BC6A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9CEEB" w14:textId="77777777" w:rsidR="00107582" w:rsidRDefault="00107582">
      <w:pPr>
        <w:spacing w:after="0" w:line="240" w:lineRule="auto"/>
      </w:pPr>
      <w:r>
        <w:separator/>
      </w:r>
    </w:p>
  </w:footnote>
  <w:footnote w:type="continuationSeparator" w:id="0">
    <w:p w14:paraId="5F2ED12F" w14:textId="77777777" w:rsidR="00107582" w:rsidRDefault="00107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AD38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DF148" w14:textId="77777777" w:rsidR="00D824D3" w:rsidRDefault="00B63B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  <w:tab w:val="left" w:pos="3828"/>
      </w:tabs>
      <w:spacing w:after="0" w:line="240" w:lineRule="auto"/>
      <w:rPr>
        <w:rFonts w:ascii="Tahoma" w:eastAsia="Tahoma" w:hAnsi="Tahoma" w:cs="Tahoma"/>
        <w:b/>
        <w:color w:val="8080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26564C0" wp14:editId="56D6C67B">
          <wp:simplePos x="0" y="0"/>
          <wp:positionH relativeFrom="column">
            <wp:posOffset>764</wp:posOffset>
          </wp:positionH>
          <wp:positionV relativeFrom="paragraph">
            <wp:posOffset>693</wp:posOffset>
          </wp:positionV>
          <wp:extent cx="1396800" cy="478800"/>
          <wp:effectExtent l="0" t="0" r="0" b="0"/>
          <wp:wrapNone/>
          <wp:docPr id="3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6800" cy="47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53E2250" w14:textId="77777777" w:rsidR="00D824D3" w:rsidRDefault="00B63B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  <w:r>
      <w:rPr>
        <w:rFonts w:ascii="Tahoma" w:eastAsia="Tahoma" w:hAnsi="Tahoma" w:cs="Tahoma"/>
        <w:b/>
        <w:color w:val="808080"/>
        <w:sz w:val="28"/>
        <w:szCs w:val="28"/>
      </w:rPr>
      <w:t>Informacja prasowa</w:t>
    </w:r>
  </w:p>
  <w:p w14:paraId="0BB711A9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3E24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40672"/>
    <w:multiLevelType w:val="multilevel"/>
    <w:tmpl w:val="CC9AE5D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/>
        <w:color w:val="FFC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BB07B9"/>
    <w:multiLevelType w:val="hybridMultilevel"/>
    <w:tmpl w:val="FFAAB1F4"/>
    <w:lvl w:ilvl="0" w:tplc="4C107D6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color w:val="F2B8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C0F3B"/>
    <w:multiLevelType w:val="hybridMultilevel"/>
    <w:tmpl w:val="049630C4"/>
    <w:lvl w:ilvl="0" w:tplc="18606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946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B49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BE8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D28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40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85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EEB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609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66E6820"/>
    <w:multiLevelType w:val="hybridMultilevel"/>
    <w:tmpl w:val="C59CA3F4"/>
    <w:lvl w:ilvl="0" w:tplc="4D483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425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CC9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02A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A0F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AD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EE4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03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AE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9DC208A"/>
    <w:multiLevelType w:val="hybridMultilevel"/>
    <w:tmpl w:val="BF0CAEC4"/>
    <w:lvl w:ilvl="0" w:tplc="75D4C92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3725F"/>
    <w:multiLevelType w:val="multilevel"/>
    <w:tmpl w:val="02C6D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9660AA0"/>
    <w:multiLevelType w:val="multilevel"/>
    <w:tmpl w:val="77F4715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/>
        <w:color w:val="FFC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1673944237">
    <w:abstractNumId w:val="0"/>
  </w:num>
  <w:num w:numId="2" w16cid:durableId="454641844">
    <w:abstractNumId w:val="6"/>
  </w:num>
  <w:num w:numId="3" w16cid:durableId="905723979">
    <w:abstractNumId w:val="2"/>
  </w:num>
  <w:num w:numId="4" w16cid:durableId="931283998">
    <w:abstractNumId w:val="3"/>
  </w:num>
  <w:num w:numId="5" w16cid:durableId="298803442">
    <w:abstractNumId w:val="5"/>
  </w:num>
  <w:num w:numId="6" w16cid:durableId="1578249196">
    <w:abstractNumId w:val="1"/>
  </w:num>
  <w:num w:numId="7" w16cid:durableId="8594670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D3"/>
    <w:rsid w:val="0000116D"/>
    <w:rsid w:val="00002FA2"/>
    <w:rsid w:val="00005901"/>
    <w:rsid w:val="0001222E"/>
    <w:rsid w:val="00013F8F"/>
    <w:rsid w:val="000150C1"/>
    <w:rsid w:val="0001727E"/>
    <w:rsid w:val="00022253"/>
    <w:rsid w:val="00027A52"/>
    <w:rsid w:val="00033E4A"/>
    <w:rsid w:val="00033EEE"/>
    <w:rsid w:val="0003691C"/>
    <w:rsid w:val="00044B01"/>
    <w:rsid w:val="000471E4"/>
    <w:rsid w:val="00053E58"/>
    <w:rsid w:val="000602EE"/>
    <w:rsid w:val="00061F85"/>
    <w:rsid w:val="0006314F"/>
    <w:rsid w:val="000644F6"/>
    <w:rsid w:val="00083EB2"/>
    <w:rsid w:val="0008411D"/>
    <w:rsid w:val="0008413C"/>
    <w:rsid w:val="00084D2C"/>
    <w:rsid w:val="000908AD"/>
    <w:rsid w:val="000935B7"/>
    <w:rsid w:val="00093C5B"/>
    <w:rsid w:val="00094318"/>
    <w:rsid w:val="00096E60"/>
    <w:rsid w:val="000A0D19"/>
    <w:rsid w:val="000A29DB"/>
    <w:rsid w:val="000A4C94"/>
    <w:rsid w:val="000B570C"/>
    <w:rsid w:val="000B7985"/>
    <w:rsid w:val="000C0857"/>
    <w:rsid w:val="000C214E"/>
    <w:rsid w:val="000C3152"/>
    <w:rsid w:val="000C60FB"/>
    <w:rsid w:val="000D2DAA"/>
    <w:rsid w:val="000D4CA2"/>
    <w:rsid w:val="000D51F1"/>
    <w:rsid w:val="000E35A1"/>
    <w:rsid w:val="000E4D10"/>
    <w:rsid w:val="000E7831"/>
    <w:rsid w:val="000F5015"/>
    <w:rsid w:val="000F734A"/>
    <w:rsid w:val="00103FBA"/>
    <w:rsid w:val="00106347"/>
    <w:rsid w:val="00107582"/>
    <w:rsid w:val="00107A4A"/>
    <w:rsid w:val="00120F42"/>
    <w:rsid w:val="00125739"/>
    <w:rsid w:val="00131EA2"/>
    <w:rsid w:val="00135A1E"/>
    <w:rsid w:val="001378BE"/>
    <w:rsid w:val="001415FC"/>
    <w:rsid w:val="00145BBB"/>
    <w:rsid w:val="0015239C"/>
    <w:rsid w:val="00154AF9"/>
    <w:rsid w:val="001622C7"/>
    <w:rsid w:val="00164288"/>
    <w:rsid w:val="001652FF"/>
    <w:rsid w:val="0016660D"/>
    <w:rsid w:val="001667D4"/>
    <w:rsid w:val="00171E71"/>
    <w:rsid w:val="00176796"/>
    <w:rsid w:val="00176B23"/>
    <w:rsid w:val="00180DCA"/>
    <w:rsid w:val="00183716"/>
    <w:rsid w:val="00184033"/>
    <w:rsid w:val="00184B5B"/>
    <w:rsid w:val="0019013E"/>
    <w:rsid w:val="001906A3"/>
    <w:rsid w:val="00191813"/>
    <w:rsid w:val="00192F14"/>
    <w:rsid w:val="001931BE"/>
    <w:rsid w:val="00193800"/>
    <w:rsid w:val="00195E85"/>
    <w:rsid w:val="00196E4D"/>
    <w:rsid w:val="001A13BD"/>
    <w:rsid w:val="001A4444"/>
    <w:rsid w:val="001A4687"/>
    <w:rsid w:val="001A5E03"/>
    <w:rsid w:val="001B18F8"/>
    <w:rsid w:val="001B1BBC"/>
    <w:rsid w:val="001B3A88"/>
    <w:rsid w:val="001B53AC"/>
    <w:rsid w:val="001C1EA7"/>
    <w:rsid w:val="001C6BED"/>
    <w:rsid w:val="001C78CD"/>
    <w:rsid w:val="001D12F7"/>
    <w:rsid w:val="001D1508"/>
    <w:rsid w:val="001D3BBF"/>
    <w:rsid w:val="001D6D47"/>
    <w:rsid w:val="001E1249"/>
    <w:rsid w:val="001E2FCE"/>
    <w:rsid w:val="001E5D2F"/>
    <w:rsid w:val="001E5F16"/>
    <w:rsid w:val="001E6465"/>
    <w:rsid w:val="001E655D"/>
    <w:rsid w:val="001F3AC1"/>
    <w:rsid w:val="001F3B78"/>
    <w:rsid w:val="001F540C"/>
    <w:rsid w:val="00200282"/>
    <w:rsid w:val="00205C0B"/>
    <w:rsid w:val="00207D56"/>
    <w:rsid w:val="00210B3A"/>
    <w:rsid w:val="00210B70"/>
    <w:rsid w:val="0021267C"/>
    <w:rsid w:val="0022070B"/>
    <w:rsid w:val="00221758"/>
    <w:rsid w:val="002332A6"/>
    <w:rsid w:val="00234145"/>
    <w:rsid w:val="00235BCA"/>
    <w:rsid w:val="0023777F"/>
    <w:rsid w:val="00241059"/>
    <w:rsid w:val="002431E6"/>
    <w:rsid w:val="002451CA"/>
    <w:rsid w:val="00246369"/>
    <w:rsid w:val="00247108"/>
    <w:rsid w:val="002560E2"/>
    <w:rsid w:val="002572B2"/>
    <w:rsid w:val="0026041E"/>
    <w:rsid w:val="002606E5"/>
    <w:rsid w:val="0026199D"/>
    <w:rsid w:val="002666B2"/>
    <w:rsid w:val="00270259"/>
    <w:rsid w:val="002705D2"/>
    <w:rsid w:val="00271E13"/>
    <w:rsid w:val="00276417"/>
    <w:rsid w:val="002773EE"/>
    <w:rsid w:val="002831E6"/>
    <w:rsid w:val="00286464"/>
    <w:rsid w:val="00287756"/>
    <w:rsid w:val="00291889"/>
    <w:rsid w:val="002925D8"/>
    <w:rsid w:val="002A381C"/>
    <w:rsid w:val="002A5397"/>
    <w:rsid w:val="002A572C"/>
    <w:rsid w:val="002A6649"/>
    <w:rsid w:val="002A6E36"/>
    <w:rsid w:val="002B24AA"/>
    <w:rsid w:val="002B2FB1"/>
    <w:rsid w:val="002B47CE"/>
    <w:rsid w:val="002B6F72"/>
    <w:rsid w:val="002B77BF"/>
    <w:rsid w:val="002C0A13"/>
    <w:rsid w:val="002C4D36"/>
    <w:rsid w:val="002C71F2"/>
    <w:rsid w:val="002D0A73"/>
    <w:rsid w:val="002E348B"/>
    <w:rsid w:val="002E4678"/>
    <w:rsid w:val="002E4732"/>
    <w:rsid w:val="002F2A15"/>
    <w:rsid w:val="002F35F7"/>
    <w:rsid w:val="002F7454"/>
    <w:rsid w:val="003023A0"/>
    <w:rsid w:val="0030310D"/>
    <w:rsid w:val="00303BED"/>
    <w:rsid w:val="00310980"/>
    <w:rsid w:val="00312C4B"/>
    <w:rsid w:val="00314819"/>
    <w:rsid w:val="0031612E"/>
    <w:rsid w:val="00323D83"/>
    <w:rsid w:val="003252BD"/>
    <w:rsid w:val="00326202"/>
    <w:rsid w:val="00330315"/>
    <w:rsid w:val="00330932"/>
    <w:rsid w:val="00335E0E"/>
    <w:rsid w:val="003371B4"/>
    <w:rsid w:val="00337C34"/>
    <w:rsid w:val="00337F4C"/>
    <w:rsid w:val="003413EC"/>
    <w:rsid w:val="00343F41"/>
    <w:rsid w:val="00346FA9"/>
    <w:rsid w:val="00347532"/>
    <w:rsid w:val="00352719"/>
    <w:rsid w:val="00356480"/>
    <w:rsid w:val="00360B0E"/>
    <w:rsid w:val="00370F97"/>
    <w:rsid w:val="003711C0"/>
    <w:rsid w:val="003734D3"/>
    <w:rsid w:val="00374264"/>
    <w:rsid w:val="00375A37"/>
    <w:rsid w:val="00377098"/>
    <w:rsid w:val="00380BE2"/>
    <w:rsid w:val="00382683"/>
    <w:rsid w:val="0038295F"/>
    <w:rsid w:val="00383BB6"/>
    <w:rsid w:val="00384766"/>
    <w:rsid w:val="0038504E"/>
    <w:rsid w:val="003858D5"/>
    <w:rsid w:val="00391753"/>
    <w:rsid w:val="00392AC2"/>
    <w:rsid w:val="003A0B81"/>
    <w:rsid w:val="003A74B7"/>
    <w:rsid w:val="003B2692"/>
    <w:rsid w:val="003B3277"/>
    <w:rsid w:val="003B4665"/>
    <w:rsid w:val="003C0EF3"/>
    <w:rsid w:val="003C2CDF"/>
    <w:rsid w:val="003C6385"/>
    <w:rsid w:val="003C69DD"/>
    <w:rsid w:val="003D3455"/>
    <w:rsid w:val="003D46A5"/>
    <w:rsid w:val="003D4B50"/>
    <w:rsid w:val="003D66BD"/>
    <w:rsid w:val="003E1C5E"/>
    <w:rsid w:val="003E4795"/>
    <w:rsid w:val="003F0366"/>
    <w:rsid w:val="003F479C"/>
    <w:rsid w:val="00402753"/>
    <w:rsid w:val="00403563"/>
    <w:rsid w:val="00405427"/>
    <w:rsid w:val="00406D9D"/>
    <w:rsid w:val="00407F67"/>
    <w:rsid w:val="0042081D"/>
    <w:rsid w:val="004226D7"/>
    <w:rsid w:val="00423508"/>
    <w:rsid w:val="00424ADA"/>
    <w:rsid w:val="00426430"/>
    <w:rsid w:val="004319E6"/>
    <w:rsid w:val="00433D19"/>
    <w:rsid w:val="0044439A"/>
    <w:rsid w:val="00447762"/>
    <w:rsid w:val="00450B7A"/>
    <w:rsid w:val="004510B2"/>
    <w:rsid w:val="00452E75"/>
    <w:rsid w:val="00453309"/>
    <w:rsid w:val="0045401E"/>
    <w:rsid w:val="00456535"/>
    <w:rsid w:val="00456600"/>
    <w:rsid w:val="00456A67"/>
    <w:rsid w:val="004609BE"/>
    <w:rsid w:val="0046106B"/>
    <w:rsid w:val="00463013"/>
    <w:rsid w:val="00463DBB"/>
    <w:rsid w:val="00464544"/>
    <w:rsid w:val="00467362"/>
    <w:rsid w:val="00467924"/>
    <w:rsid w:val="00471B82"/>
    <w:rsid w:val="004763AA"/>
    <w:rsid w:val="00486407"/>
    <w:rsid w:val="00493212"/>
    <w:rsid w:val="004A002F"/>
    <w:rsid w:val="004A25A7"/>
    <w:rsid w:val="004A2737"/>
    <w:rsid w:val="004A417F"/>
    <w:rsid w:val="004A41FB"/>
    <w:rsid w:val="004A4455"/>
    <w:rsid w:val="004B19B6"/>
    <w:rsid w:val="004B3629"/>
    <w:rsid w:val="004B4F60"/>
    <w:rsid w:val="004B5A39"/>
    <w:rsid w:val="004C1457"/>
    <w:rsid w:val="004C2725"/>
    <w:rsid w:val="004D0CC7"/>
    <w:rsid w:val="004D1903"/>
    <w:rsid w:val="004D2122"/>
    <w:rsid w:val="004D5354"/>
    <w:rsid w:val="004D578B"/>
    <w:rsid w:val="004D57DB"/>
    <w:rsid w:val="004D5A7C"/>
    <w:rsid w:val="004D6574"/>
    <w:rsid w:val="004D7BB2"/>
    <w:rsid w:val="004E039F"/>
    <w:rsid w:val="004E053D"/>
    <w:rsid w:val="004E0543"/>
    <w:rsid w:val="004E25E2"/>
    <w:rsid w:val="004E3670"/>
    <w:rsid w:val="004E3BF3"/>
    <w:rsid w:val="004E4375"/>
    <w:rsid w:val="004E514D"/>
    <w:rsid w:val="004E664B"/>
    <w:rsid w:val="004E7219"/>
    <w:rsid w:val="004E7872"/>
    <w:rsid w:val="004E799B"/>
    <w:rsid w:val="004F5F2B"/>
    <w:rsid w:val="004F656D"/>
    <w:rsid w:val="0050050B"/>
    <w:rsid w:val="0050128F"/>
    <w:rsid w:val="005030B7"/>
    <w:rsid w:val="00503853"/>
    <w:rsid w:val="00513957"/>
    <w:rsid w:val="00517459"/>
    <w:rsid w:val="00522CB9"/>
    <w:rsid w:val="00523279"/>
    <w:rsid w:val="0052392A"/>
    <w:rsid w:val="00523965"/>
    <w:rsid w:val="00525892"/>
    <w:rsid w:val="005319A4"/>
    <w:rsid w:val="0053398D"/>
    <w:rsid w:val="0053503C"/>
    <w:rsid w:val="005403F2"/>
    <w:rsid w:val="00543269"/>
    <w:rsid w:val="00544554"/>
    <w:rsid w:val="00544A7C"/>
    <w:rsid w:val="0055003D"/>
    <w:rsid w:val="00551364"/>
    <w:rsid w:val="00552AF7"/>
    <w:rsid w:val="00553801"/>
    <w:rsid w:val="005539C6"/>
    <w:rsid w:val="00556C60"/>
    <w:rsid w:val="0056066B"/>
    <w:rsid w:val="005623F5"/>
    <w:rsid w:val="00562455"/>
    <w:rsid w:val="00563A0B"/>
    <w:rsid w:val="00564E8C"/>
    <w:rsid w:val="005717E9"/>
    <w:rsid w:val="00574EC5"/>
    <w:rsid w:val="0058424C"/>
    <w:rsid w:val="00584EAB"/>
    <w:rsid w:val="0059770F"/>
    <w:rsid w:val="00597B7F"/>
    <w:rsid w:val="005A462A"/>
    <w:rsid w:val="005A5043"/>
    <w:rsid w:val="005B039B"/>
    <w:rsid w:val="005B155B"/>
    <w:rsid w:val="005B248C"/>
    <w:rsid w:val="005B3CF6"/>
    <w:rsid w:val="005B5026"/>
    <w:rsid w:val="005C07AB"/>
    <w:rsid w:val="005C2FFD"/>
    <w:rsid w:val="005C58F7"/>
    <w:rsid w:val="005C7276"/>
    <w:rsid w:val="005D25D3"/>
    <w:rsid w:val="005D704A"/>
    <w:rsid w:val="005D7C59"/>
    <w:rsid w:val="005E0107"/>
    <w:rsid w:val="005E090C"/>
    <w:rsid w:val="005E2831"/>
    <w:rsid w:val="005E3E65"/>
    <w:rsid w:val="005E4881"/>
    <w:rsid w:val="005F1CF1"/>
    <w:rsid w:val="005F279F"/>
    <w:rsid w:val="005F3B41"/>
    <w:rsid w:val="005F4BD2"/>
    <w:rsid w:val="005F65B4"/>
    <w:rsid w:val="005F673F"/>
    <w:rsid w:val="005F6802"/>
    <w:rsid w:val="005F6D3C"/>
    <w:rsid w:val="005F75ED"/>
    <w:rsid w:val="005F78EB"/>
    <w:rsid w:val="005F7CFF"/>
    <w:rsid w:val="00602232"/>
    <w:rsid w:val="00607CC8"/>
    <w:rsid w:val="00610F49"/>
    <w:rsid w:val="00611BD0"/>
    <w:rsid w:val="006137A4"/>
    <w:rsid w:val="00615980"/>
    <w:rsid w:val="00620D19"/>
    <w:rsid w:val="006217C8"/>
    <w:rsid w:val="006221EC"/>
    <w:rsid w:val="00624E80"/>
    <w:rsid w:val="006273F5"/>
    <w:rsid w:val="006335D0"/>
    <w:rsid w:val="00634818"/>
    <w:rsid w:val="00636727"/>
    <w:rsid w:val="00636F6F"/>
    <w:rsid w:val="0064310D"/>
    <w:rsid w:val="00650F76"/>
    <w:rsid w:val="006511B1"/>
    <w:rsid w:val="006514B7"/>
    <w:rsid w:val="00651C6F"/>
    <w:rsid w:val="00652414"/>
    <w:rsid w:val="00653204"/>
    <w:rsid w:val="00654549"/>
    <w:rsid w:val="00660924"/>
    <w:rsid w:val="00660A27"/>
    <w:rsid w:val="00661489"/>
    <w:rsid w:val="00661E49"/>
    <w:rsid w:val="00662B0E"/>
    <w:rsid w:val="00665EE0"/>
    <w:rsid w:val="0067655C"/>
    <w:rsid w:val="00684AEF"/>
    <w:rsid w:val="00685FB2"/>
    <w:rsid w:val="006908D3"/>
    <w:rsid w:val="00691304"/>
    <w:rsid w:val="006913B6"/>
    <w:rsid w:val="006943AF"/>
    <w:rsid w:val="006A1C56"/>
    <w:rsid w:val="006B12A4"/>
    <w:rsid w:val="006B342C"/>
    <w:rsid w:val="006B3CBD"/>
    <w:rsid w:val="006B4024"/>
    <w:rsid w:val="006B4545"/>
    <w:rsid w:val="006B4A0C"/>
    <w:rsid w:val="006B4EE8"/>
    <w:rsid w:val="006B683D"/>
    <w:rsid w:val="006B7429"/>
    <w:rsid w:val="006C0DB9"/>
    <w:rsid w:val="006D060D"/>
    <w:rsid w:val="006D5288"/>
    <w:rsid w:val="006D546B"/>
    <w:rsid w:val="006D640A"/>
    <w:rsid w:val="006D721C"/>
    <w:rsid w:val="006E0023"/>
    <w:rsid w:val="006E130B"/>
    <w:rsid w:val="006E238E"/>
    <w:rsid w:val="006E566D"/>
    <w:rsid w:val="006E5944"/>
    <w:rsid w:val="006E61C6"/>
    <w:rsid w:val="006E716B"/>
    <w:rsid w:val="006F215D"/>
    <w:rsid w:val="006F30C5"/>
    <w:rsid w:val="006F3FA9"/>
    <w:rsid w:val="007012C0"/>
    <w:rsid w:val="00701930"/>
    <w:rsid w:val="00702E01"/>
    <w:rsid w:val="007036B9"/>
    <w:rsid w:val="00703F19"/>
    <w:rsid w:val="00704F7D"/>
    <w:rsid w:val="00705048"/>
    <w:rsid w:val="007065F1"/>
    <w:rsid w:val="00707906"/>
    <w:rsid w:val="0071028C"/>
    <w:rsid w:val="00710618"/>
    <w:rsid w:val="00710E33"/>
    <w:rsid w:val="00712B2C"/>
    <w:rsid w:val="007143D6"/>
    <w:rsid w:val="007157E1"/>
    <w:rsid w:val="007163CA"/>
    <w:rsid w:val="007172F7"/>
    <w:rsid w:val="00717A8C"/>
    <w:rsid w:val="00725A96"/>
    <w:rsid w:val="00726BDF"/>
    <w:rsid w:val="00734DF8"/>
    <w:rsid w:val="007426FD"/>
    <w:rsid w:val="007429FA"/>
    <w:rsid w:val="00747599"/>
    <w:rsid w:val="00756852"/>
    <w:rsid w:val="00762BB9"/>
    <w:rsid w:val="007659C0"/>
    <w:rsid w:val="00770099"/>
    <w:rsid w:val="007724D1"/>
    <w:rsid w:val="00775CAB"/>
    <w:rsid w:val="00777A92"/>
    <w:rsid w:val="00787F6A"/>
    <w:rsid w:val="00794031"/>
    <w:rsid w:val="007A6067"/>
    <w:rsid w:val="007B4EE7"/>
    <w:rsid w:val="007C3807"/>
    <w:rsid w:val="007C69AF"/>
    <w:rsid w:val="007C6D66"/>
    <w:rsid w:val="007C79AA"/>
    <w:rsid w:val="007D043C"/>
    <w:rsid w:val="007D1D38"/>
    <w:rsid w:val="007D5978"/>
    <w:rsid w:val="007D6975"/>
    <w:rsid w:val="007D7046"/>
    <w:rsid w:val="007D790E"/>
    <w:rsid w:val="007D7917"/>
    <w:rsid w:val="007E19BC"/>
    <w:rsid w:val="007F0AAC"/>
    <w:rsid w:val="007F4369"/>
    <w:rsid w:val="007F54CB"/>
    <w:rsid w:val="007F775D"/>
    <w:rsid w:val="00803A9E"/>
    <w:rsid w:val="00804DC5"/>
    <w:rsid w:val="00806358"/>
    <w:rsid w:val="00806625"/>
    <w:rsid w:val="008071F7"/>
    <w:rsid w:val="0080729F"/>
    <w:rsid w:val="00807C4C"/>
    <w:rsid w:val="00810CB0"/>
    <w:rsid w:val="00811901"/>
    <w:rsid w:val="00815619"/>
    <w:rsid w:val="00815E45"/>
    <w:rsid w:val="008230DA"/>
    <w:rsid w:val="00824271"/>
    <w:rsid w:val="00825FA7"/>
    <w:rsid w:val="00827494"/>
    <w:rsid w:val="008373EA"/>
    <w:rsid w:val="00840917"/>
    <w:rsid w:val="00841029"/>
    <w:rsid w:val="00850178"/>
    <w:rsid w:val="00850757"/>
    <w:rsid w:val="0085210D"/>
    <w:rsid w:val="00854FCC"/>
    <w:rsid w:val="0086463D"/>
    <w:rsid w:val="00867B13"/>
    <w:rsid w:val="00871CAB"/>
    <w:rsid w:val="00872C41"/>
    <w:rsid w:val="0087588D"/>
    <w:rsid w:val="00875C77"/>
    <w:rsid w:val="00875D93"/>
    <w:rsid w:val="00876905"/>
    <w:rsid w:val="00887135"/>
    <w:rsid w:val="00890BCD"/>
    <w:rsid w:val="00893D6E"/>
    <w:rsid w:val="00895F6D"/>
    <w:rsid w:val="00896224"/>
    <w:rsid w:val="008A0044"/>
    <w:rsid w:val="008A1549"/>
    <w:rsid w:val="008A32BF"/>
    <w:rsid w:val="008A6A8C"/>
    <w:rsid w:val="008A765A"/>
    <w:rsid w:val="008B17C9"/>
    <w:rsid w:val="008B19CA"/>
    <w:rsid w:val="008B1D6D"/>
    <w:rsid w:val="008C2D2B"/>
    <w:rsid w:val="008C3396"/>
    <w:rsid w:val="008C3407"/>
    <w:rsid w:val="008D1ACD"/>
    <w:rsid w:val="008D3344"/>
    <w:rsid w:val="008D3B53"/>
    <w:rsid w:val="008D6295"/>
    <w:rsid w:val="008E179B"/>
    <w:rsid w:val="008E2FA2"/>
    <w:rsid w:val="008E49DC"/>
    <w:rsid w:val="008E5974"/>
    <w:rsid w:val="008F0F82"/>
    <w:rsid w:val="008F47AB"/>
    <w:rsid w:val="008F662C"/>
    <w:rsid w:val="009004D4"/>
    <w:rsid w:val="00903035"/>
    <w:rsid w:val="009060CB"/>
    <w:rsid w:val="00917E35"/>
    <w:rsid w:val="00917F22"/>
    <w:rsid w:val="00925F96"/>
    <w:rsid w:val="00926AB4"/>
    <w:rsid w:val="00934E3C"/>
    <w:rsid w:val="00935CAC"/>
    <w:rsid w:val="009412FA"/>
    <w:rsid w:val="009423FC"/>
    <w:rsid w:val="009440A3"/>
    <w:rsid w:val="00950989"/>
    <w:rsid w:val="00950CD1"/>
    <w:rsid w:val="00953058"/>
    <w:rsid w:val="0095559D"/>
    <w:rsid w:val="00956074"/>
    <w:rsid w:val="009711BB"/>
    <w:rsid w:val="00980272"/>
    <w:rsid w:val="00985437"/>
    <w:rsid w:val="00985A8D"/>
    <w:rsid w:val="00985D5B"/>
    <w:rsid w:val="00986024"/>
    <w:rsid w:val="0099010B"/>
    <w:rsid w:val="009923E1"/>
    <w:rsid w:val="009934D7"/>
    <w:rsid w:val="009966F7"/>
    <w:rsid w:val="009A0BA1"/>
    <w:rsid w:val="009A2485"/>
    <w:rsid w:val="009A2A41"/>
    <w:rsid w:val="009A6A6A"/>
    <w:rsid w:val="009B023E"/>
    <w:rsid w:val="009B24AE"/>
    <w:rsid w:val="009B5EAF"/>
    <w:rsid w:val="009B7B45"/>
    <w:rsid w:val="009C59A0"/>
    <w:rsid w:val="009C5A96"/>
    <w:rsid w:val="009C79F3"/>
    <w:rsid w:val="009C7D4A"/>
    <w:rsid w:val="009C7EB1"/>
    <w:rsid w:val="009D744F"/>
    <w:rsid w:val="009E34F6"/>
    <w:rsid w:val="009E4C4D"/>
    <w:rsid w:val="009E667B"/>
    <w:rsid w:val="009F768E"/>
    <w:rsid w:val="00A01C61"/>
    <w:rsid w:val="00A04EE4"/>
    <w:rsid w:val="00A13CA8"/>
    <w:rsid w:val="00A164AD"/>
    <w:rsid w:val="00A227DE"/>
    <w:rsid w:val="00A2774D"/>
    <w:rsid w:val="00A30799"/>
    <w:rsid w:val="00A356C3"/>
    <w:rsid w:val="00A405AF"/>
    <w:rsid w:val="00A40E99"/>
    <w:rsid w:val="00A427E8"/>
    <w:rsid w:val="00A477E4"/>
    <w:rsid w:val="00A508CB"/>
    <w:rsid w:val="00A542E3"/>
    <w:rsid w:val="00A54764"/>
    <w:rsid w:val="00A5688E"/>
    <w:rsid w:val="00A56E7C"/>
    <w:rsid w:val="00A623FA"/>
    <w:rsid w:val="00A66652"/>
    <w:rsid w:val="00A70255"/>
    <w:rsid w:val="00A75A99"/>
    <w:rsid w:val="00A77BCF"/>
    <w:rsid w:val="00A85A81"/>
    <w:rsid w:val="00A9414D"/>
    <w:rsid w:val="00A94DDE"/>
    <w:rsid w:val="00A95921"/>
    <w:rsid w:val="00AA6CD3"/>
    <w:rsid w:val="00AA6F3B"/>
    <w:rsid w:val="00AB0617"/>
    <w:rsid w:val="00AB0BC8"/>
    <w:rsid w:val="00AB123B"/>
    <w:rsid w:val="00AB2D79"/>
    <w:rsid w:val="00AB2DD9"/>
    <w:rsid w:val="00AB5794"/>
    <w:rsid w:val="00AC3680"/>
    <w:rsid w:val="00AC4603"/>
    <w:rsid w:val="00AC6E6F"/>
    <w:rsid w:val="00AD1935"/>
    <w:rsid w:val="00AD1A09"/>
    <w:rsid w:val="00AD7834"/>
    <w:rsid w:val="00AD7A82"/>
    <w:rsid w:val="00AE0A58"/>
    <w:rsid w:val="00AE2A15"/>
    <w:rsid w:val="00AE43FD"/>
    <w:rsid w:val="00AE4646"/>
    <w:rsid w:val="00AE7510"/>
    <w:rsid w:val="00AF215D"/>
    <w:rsid w:val="00AF4889"/>
    <w:rsid w:val="00B011E4"/>
    <w:rsid w:val="00B03683"/>
    <w:rsid w:val="00B04EF4"/>
    <w:rsid w:val="00B11EAE"/>
    <w:rsid w:val="00B133ED"/>
    <w:rsid w:val="00B15C77"/>
    <w:rsid w:val="00B2487A"/>
    <w:rsid w:val="00B256B5"/>
    <w:rsid w:val="00B31685"/>
    <w:rsid w:val="00B36AEC"/>
    <w:rsid w:val="00B37B89"/>
    <w:rsid w:val="00B40E99"/>
    <w:rsid w:val="00B45602"/>
    <w:rsid w:val="00B47F50"/>
    <w:rsid w:val="00B509BB"/>
    <w:rsid w:val="00B50CA0"/>
    <w:rsid w:val="00B51181"/>
    <w:rsid w:val="00B51709"/>
    <w:rsid w:val="00B5735A"/>
    <w:rsid w:val="00B60995"/>
    <w:rsid w:val="00B63B5B"/>
    <w:rsid w:val="00B669D5"/>
    <w:rsid w:val="00B6783C"/>
    <w:rsid w:val="00B72AF4"/>
    <w:rsid w:val="00B7408F"/>
    <w:rsid w:val="00B763A5"/>
    <w:rsid w:val="00B76DEA"/>
    <w:rsid w:val="00B83EAA"/>
    <w:rsid w:val="00B84905"/>
    <w:rsid w:val="00B855F5"/>
    <w:rsid w:val="00B8647C"/>
    <w:rsid w:val="00B86B9D"/>
    <w:rsid w:val="00B90474"/>
    <w:rsid w:val="00B9165B"/>
    <w:rsid w:val="00B91D54"/>
    <w:rsid w:val="00B94D5E"/>
    <w:rsid w:val="00B96C47"/>
    <w:rsid w:val="00BA17E4"/>
    <w:rsid w:val="00BA3215"/>
    <w:rsid w:val="00BB20C3"/>
    <w:rsid w:val="00BB37BF"/>
    <w:rsid w:val="00BB5533"/>
    <w:rsid w:val="00BB5EFD"/>
    <w:rsid w:val="00BB6BF7"/>
    <w:rsid w:val="00BC0CA6"/>
    <w:rsid w:val="00BC3261"/>
    <w:rsid w:val="00BC3FD0"/>
    <w:rsid w:val="00BD0353"/>
    <w:rsid w:val="00BD24EB"/>
    <w:rsid w:val="00BD399A"/>
    <w:rsid w:val="00BD63C9"/>
    <w:rsid w:val="00BD708C"/>
    <w:rsid w:val="00BD79AA"/>
    <w:rsid w:val="00BE0EAA"/>
    <w:rsid w:val="00BE0F4A"/>
    <w:rsid w:val="00BE1816"/>
    <w:rsid w:val="00BE194F"/>
    <w:rsid w:val="00BE3FC4"/>
    <w:rsid w:val="00BE4E23"/>
    <w:rsid w:val="00BE7948"/>
    <w:rsid w:val="00BF116E"/>
    <w:rsid w:val="00BF1497"/>
    <w:rsid w:val="00BF1ADB"/>
    <w:rsid w:val="00BF2F6F"/>
    <w:rsid w:val="00BF549F"/>
    <w:rsid w:val="00BF55EE"/>
    <w:rsid w:val="00BF615C"/>
    <w:rsid w:val="00C02D68"/>
    <w:rsid w:val="00C040ED"/>
    <w:rsid w:val="00C050CB"/>
    <w:rsid w:val="00C06355"/>
    <w:rsid w:val="00C07082"/>
    <w:rsid w:val="00C07D71"/>
    <w:rsid w:val="00C07D7B"/>
    <w:rsid w:val="00C1161C"/>
    <w:rsid w:val="00C11B8B"/>
    <w:rsid w:val="00C14AAA"/>
    <w:rsid w:val="00C1552F"/>
    <w:rsid w:val="00C21BFC"/>
    <w:rsid w:val="00C220E3"/>
    <w:rsid w:val="00C22311"/>
    <w:rsid w:val="00C22973"/>
    <w:rsid w:val="00C2526F"/>
    <w:rsid w:val="00C25482"/>
    <w:rsid w:val="00C2719B"/>
    <w:rsid w:val="00C3176E"/>
    <w:rsid w:val="00C32C83"/>
    <w:rsid w:val="00C33D37"/>
    <w:rsid w:val="00C41615"/>
    <w:rsid w:val="00C43084"/>
    <w:rsid w:val="00C44E46"/>
    <w:rsid w:val="00C45404"/>
    <w:rsid w:val="00C45C63"/>
    <w:rsid w:val="00C47A3A"/>
    <w:rsid w:val="00C51318"/>
    <w:rsid w:val="00C51F92"/>
    <w:rsid w:val="00C54EB3"/>
    <w:rsid w:val="00C55A9C"/>
    <w:rsid w:val="00C56073"/>
    <w:rsid w:val="00C577EE"/>
    <w:rsid w:val="00C611C9"/>
    <w:rsid w:val="00C6200A"/>
    <w:rsid w:val="00C66C0B"/>
    <w:rsid w:val="00C71D6B"/>
    <w:rsid w:val="00C743F6"/>
    <w:rsid w:val="00C808F2"/>
    <w:rsid w:val="00C81D11"/>
    <w:rsid w:val="00C81E1B"/>
    <w:rsid w:val="00C82D9C"/>
    <w:rsid w:val="00C83974"/>
    <w:rsid w:val="00C84E31"/>
    <w:rsid w:val="00C853EF"/>
    <w:rsid w:val="00C874E5"/>
    <w:rsid w:val="00C927B2"/>
    <w:rsid w:val="00C93FA1"/>
    <w:rsid w:val="00C96B2F"/>
    <w:rsid w:val="00CA1190"/>
    <w:rsid w:val="00CA1A74"/>
    <w:rsid w:val="00CA4090"/>
    <w:rsid w:val="00CA6FF7"/>
    <w:rsid w:val="00CA7F9C"/>
    <w:rsid w:val="00CC4B59"/>
    <w:rsid w:val="00CC52EC"/>
    <w:rsid w:val="00CD1EBE"/>
    <w:rsid w:val="00CD548E"/>
    <w:rsid w:val="00CD57DA"/>
    <w:rsid w:val="00CE063A"/>
    <w:rsid w:val="00CE1ED2"/>
    <w:rsid w:val="00CE292D"/>
    <w:rsid w:val="00CE42FB"/>
    <w:rsid w:val="00CE45B6"/>
    <w:rsid w:val="00CE69BD"/>
    <w:rsid w:val="00CF024B"/>
    <w:rsid w:val="00CF0586"/>
    <w:rsid w:val="00CF57E7"/>
    <w:rsid w:val="00CF7695"/>
    <w:rsid w:val="00CF7AFC"/>
    <w:rsid w:val="00CF7BF1"/>
    <w:rsid w:val="00D02632"/>
    <w:rsid w:val="00D03B68"/>
    <w:rsid w:val="00D07BAF"/>
    <w:rsid w:val="00D136C3"/>
    <w:rsid w:val="00D156F0"/>
    <w:rsid w:val="00D23E56"/>
    <w:rsid w:val="00D2623A"/>
    <w:rsid w:val="00D26388"/>
    <w:rsid w:val="00D265B4"/>
    <w:rsid w:val="00D31DC8"/>
    <w:rsid w:val="00D339BF"/>
    <w:rsid w:val="00D35BF0"/>
    <w:rsid w:val="00D40A41"/>
    <w:rsid w:val="00D41A04"/>
    <w:rsid w:val="00D4399C"/>
    <w:rsid w:val="00D46F70"/>
    <w:rsid w:val="00D47FF3"/>
    <w:rsid w:val="00D504A3"/>
    <w:rsid w:val="00D505B8"/>
    <w:rsid w:val="00D51161"/>
    <w:rsid w:val="00D5155E"/>
    <w:rsid w:val="00D51FBF"/>
    <w:rsid w:val="00D567C6"/>
    <w:rsid w:val="00D603CB"/>
    <w:rsid w:val="00D609D1"/>
    <w:rsid w:val="00D63EA5"/>
    <w:rsid w:val="00D65068"/>
    <w:rsid w:val="00D660C1"/>
    <w:rsid w:val="00D66FC2"/>
    <w:rsid w:val="00D67C64"/>
    <w:rsid w:val="00D67FAC"/>
    <w:rsid w:val="00D72565"/>
    <w:rsid w:val="00D74729"/>
    <w:rsid w:val="00D824D3"/>
    <w:rsid w:val="00D8675A"/>
    <w:rsid w:val="00D872A4"/>
    <w:rsid w:val="00D904EF"/>
    <w:rsid w:val="00D911F2"/>
    <w:rsid w:val="00D93DDA"/>
    <w:rsid w:val="00D93F38"/>
    <w:rsid w:val="00D942B1"/>
    <w:rsid w:val="00D96546"/>
    <w:rsid w:val="00D97C32"/>
    <w:rsid w:val="00DA12A6"/>
    <w:rsid w:val="00DA19CD"/>
    <w:rsid w:val="00DB09FE"/>
    <w:rsid w:val="00DB1AAB"/>
    <w:rsid w:val="00DB1CB7"/>
    <w:rsid w:val="00DB6966"/>
    <w:rsid w:val="00DC08D2"/>
    <w:rsid w:val="00DC48AE"/>
    <w:rsid w:val="00DC5519"/>
    <w:rsid w:val="00DD0598"/>
    <w:rsid w:val="00DD2632"/>
    <w:rsid w:val="00DD5C87"/>
    <w:rsid w:val="00DD7855"/>
    <w:rsid w:val="00DE0B69"/>
    <w:rsid w:val="00DE0FF7"/>
    <w:rsid w:val="00DE3C90"/>
    <w:rsid w:val="00DE3D22"/>
    <w:rsid w:val="00DE4D7D"/>
    <w:rsid w:val="00DE5AC6"/>
    <w:rsid w:val="00DF554A"/>
    <w:rsid w:val="00DF6A22"/>
    <w:rsid w:val="00DF6F79"/>
    <w:rsid w:val="00DF7CA2"/>
    <w:rsid w:val="00E0076A"/>
    <w:rsid w:val="00E11DAD"/>
    <w:rsid w:val="00E12ADB"/>
    <w:rsid w:val="00E137C2"/>
    <w:rsid w:val="00E16463"/>
    <w:rsid w:val="00E229C5"/>
    <w:rsid w:val="00E25398"/>
    <w:rsid w:val="00E2568C"/>
    <w:rsid w:val="00E25B72"/>
    <w:rsid w:val="00E31F2A"/>
    <w:rsid w:val="00E33BD7"/>
    <w:rsid w:val="00E37721"/>
    <w:rsid w:val="00E45030"/>
    <w:rsid w:val="00E45930"/>
    <w:rsid w:val="00E50E54"/>
    <w:rsid w:val="00E52A46"/>
    <w:rsid w:val="00E5451A"/>
    <w:rsid w:val="00E54E6C"/>
    <w:rsid w:val="00E55A63"/>
    <w:rsid w:val="00E56278"/>
    <w:rsid w:val="00E56327"/>
    <w:rsid w:val="00E617F8"/>
    <w:rsid w:val="00E619E1"/>
    <w:rsid w:val="00E645EB"/>
    <w:rsid w:val="00E7157F"/>
    <w:rsid w:val="00E71F38"/>
    <w:rsid w:val="00E762B6"/>
    <w:rsid w:val="00E808DB"/>
    <w:rsid w:val="00E80F4B"/>
    <w:rsid w:val="00E82BA3"/>
    <w:rsid w:val="00E83C59"/>
    <w:rsid w:val="00E83C60"/>
    <w:rsid w:val="00E90772"/>
    <w:rsid w:val="00E90EDE"/>
    <w:rsid w:val="00E92562"/>
    <w:rsid w:val="00E94DE1"/>
    <w:rsid w:val="00E95C5C"/>
    <w:rsid w:val="00E97B5F"/>
    <w:rsid w:val="00EA176A"/>
    <w:rsid w:val="00EA1A0A"/>
    <w:rsid w:val="00EA5DB3"/>
    <w:rsid w:val="00EB1D28"/>
    <w:rsid w:val="00EB1ECE"/>
    <w:rsid w:val="00EB2AA4"/>
    <w:rsid w:val="00EB40E2"/>
    <w:rsid w:val="00EC21EA"/>
    <w:rsid w:val="00EC3B8A"/>
    <w:rsid w:val="00EC76D5"/>
    <w:rsid w:val="00EE53F4"/>
    <w:rsid w:val="00EE667C"/>
    <w:rsid w:val="00EF0A90"/>
    <w:rsid w:val="00EF1ECC"/>
    <w:rsid w:val="00EF26DC"/>
    <w:rsid w:val="00EF28BA"/>
    <w:rsid w:val="00EF2D8F"/>
    <w:rsid w:val="00F00CA9"/>
    <w:rsid w:val="00F03ED2"/>
    <w:rsid w:val="00F04AEE"/>
    <w:rsid w:val="00F0573C"/>
    <w:rsid w:val="00F06A02"/>
    <w:rsid w:val="00F110BA"/>
    <w:rsid w:val="00F11899"/>
    <w:rsid w:val="00F122BB"/>
    <w:rsid w:val="00F140FF"/>
    <w:rsid w:val="00F156F3"/>
    <w:rsid w:val="00F16B5D"/>
    <w:rsid w:val="00F20985"/>
    <w:rsid w:val="00F2191E"/>
    <w:rsid w:val="00F21BA7"/>
    <w:rsid w:val="00F221C4"/>
    <w:rsid w:val="00F26121"/>
    <w:rsid w:val="00F30C90"/>
    <w:rsid w:val="00F35A29"/>
    <w:rsid w:val="00F41795"/>
    <w:rsid w:val="00F450AF"/>
    <w:rsid w:val="00F47FCC"/>
    <w:rsid w:val="00F50280"/>
    <w:rsid w:val="00F50F80"/>
    <w:rsid w:val="00F55022"/>
    <w:rsid w:val="00F56A92"/>
    <w:rsid w:val="00F57825"/>
    <w:rsid w:val="00F60474"/>
    <w:rsid w:val="00F64BAE"/>
    <w:rsid w:val="00F65CEF"/>
    <w:rsid w:val="00F72D5F"/>
    <w:rsid w:val="00F8117A"/>
    <w:rsid w:val="00F81B2F"/>
    <w:rsid w:val="00F85E26"/>
    <w:rsid w:val="00F87957"/>
    <w:rsid w:val="00F97203"/>
    <w:rsid w:val="00F972A2"/>
    <w:rsid w:val="00F97B52"/>
    <w:rsid w:val="00FA0597"/>
    <w:rsid w:val="00FA1922"/>
    <w:rsid w:val="00FA2F9E"/>
    <w:rsid w:val="00FA321D"/>
    <w:rsid w:val="00FA36B8"/>
    <w:rsid w:val="00FA715E"/>
    <w:rsid w:val="00FB0F22"/>
    <w:rsid w:val="00FB2700"/>
    <w:rsid w:val="00FB3D83"/>
    <w:rsid w:val="00FC0473"/>
    <w:rsid w:val="00FC1BEE"/>
    <w:rsid w:val="00FC48AB"/>
    <w:rsid w:val="00FC60E2"/>
    <w:rsid w:val="00FC7783"/>
    <w:rsid w:val="00FC7C0A"/>
    <w:rsid w:val="00FD01B0"/>
    <w:rsid w:val="00FD14F3"/>
    <w:rsid w:val="00FD5083"/>
    <w:rsid w:val="00FD63B7"/>
    <w:rsid w:val="00FD7691"/>
    <w:rsid w:val="00FE2F6B"/>
    <w:rsid w:val="00FE4F78"/>
    <w:rsid w:val="00FE67F5"/>
    <w:rsid w:val="00FE712E"/>
    <w:rsid w:val="00FF3ABE"/>
    <w:rsid w:val="00FF5A97"/>
    <w:rsid w:val="00FF61D8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844742"/>
  <w15:docId w15:val="{A94129C8-DD1F-4BBB-9835-624E2C2F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0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43"/>
    <w:rPr>
      <w:rFonts w:ascii="Segoe UI" w:hAnsi="Segoe UI" w:cs="Segoe UI"/>
      <w:sz w:val="18"/>
      <w:szCs w:val="18"/>
    </w:rPr>
  </w:style>
  <w:style w:type="table" w:customStyle="1" w:styleId="a0">
    <w:basedOn w:val="TableNormal10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1">
    <w:basedOn w:val="TableNormal10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7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7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2D"/>
    <w:rPr>
      <w:b/>
      <w:bCs/>
      <w:sz w:val="20"/>
      <w:szCs w:val="20"/>
    </w:rPr>
  </w:style>
  <w:style w:type="table" w:customStyle="1" w:styleId="a2">
    <w:basedOn w:val="TableNormal8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3">
    <w:basedOn w:val="TableNormal7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250"/>
  </w:style>
  <w:style w:type="paragraph" w:styleId="Stopka">
    <w:name w:val="footer"/>
    <w:basedOn w:val="Normalny"/>
    <w:link w:val="Stopka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250"/>
  </w:style>
  <w:style w:type="table" w:customStyle="1" w:styleId="a4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09A0"/>
    <w:pPr>
      <w:ind w:left="720"/>
      <w:contextualSpacing/>
    </w:pPr>
  </w:style>
  <w:style w:type="table" w:customStyle="1" w:styleId="a5">
    <w:basedOn w:val="TableNormal5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6">
    <w:basedOn w:val="TableNormal4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7">
    <w:basedOn w:val="TableNormal3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8">
    <w:basedOn w:val="TableNormal3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11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11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161"/>
    <w:rPr>
      <w:vertAlign w:val="superscript"/>
    </w:rPr>
  </w:style>
  <w:style w:type="paragraph" w:styleId="Poprawka">
    <w:name w:val="Revision"/>
    <w:hidden/>
    <w:uiPriority w:val="99"/>
    <w:semiHidden/>
    <w:rsid w:val="0077009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6C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6C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6C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4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0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4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1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7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2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99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chal.wrzosek@budimex.pl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media.budimex.pl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o23bhZiq9gIJc2H6Ifib6JsTyw==">AMUW2mUxnMf2l6g7cEe03YceFHGW7RsJmkmY4cBNkhj7hAmSFzS6Wj4IC0z4guUoq5kFp31sT6fnmUdqVOmx+z9fhSaoZCbggrsr/yX+1ow2mQww0y5B8+pelFlr/b6OreRGoMprXVru3gV4FUDPM7N0q9217hTYGA==</go:docsCustomData>
</go:gDocsCustomXmlDataStorage>
</file>

<file path=customXml/itemProps1.xml><?xml version="1.0" encoding="utf-8"?>
<ds:datastoreItem xmlns:ds="http://schemas.openxmlformats.org/officeDocument/2006/customXml" ds:itemID="{67CE1AF6-A0EE-41F2-A491-45D0E3D87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1374</Words>
  <Characters>8245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Wójcik</dc:creator>
  <cp:lastModifiedBy>Wojnarowska, Anna</cp:lastModifiedBy>
  <cp:revision>2</cp:revision>
  <cp:lastPrinted>2022-10-26T08:36:00Z</cp:lastPrinted>
  <dcterms:created xsi:type="dcterms:W3CDTF">2022-10-26T08:55:00Z</dcterms:created>
  <dcterms:modified xsi:type="dcterms:W3CDTF">2022-10-26T08:55:00Z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5923b3-4e86-4aa9-9018-d7e3c1e08536_Enabled">
    <vt:lpwstr>true</vt:lpwstr>
  </property>
  <property fmtid="{D5CDD505-2E9C-101B-9397-08002B2CF9AE}" pid="3" name="MSIP_Label_b05923b3-4e86-4aa9-9018-d7e3c1e08536_SetDate">
    <vt:lpwstr>2022-10-18T08:03:26Z</vt:lpwstr>
  </property>
  <property fmtid="{D5CDD505-2E9C-101B-9397-08002B2CF9AE}" pid="4" name="MSIP_Label_b05923b3-4e86-4aa9-9018-d7e3c1e08536_Method">
    <vt:lpwstr>Standard</vt:lpwstr>
  </property>
  <property fmtid="{D5CDD505-2E9C-101B-9397-08002B2CF9AE}" pid="5" name="MSIP_Label_b05923b3-4e86-4aa9-9018-d7e3c1e08536_Name">
    <vt:lpwstr>Wewnętrzna 2</vt:lpwstr>
  </property>
  <property fmtid="{D5CDD505-2E9C-101B-9397-08002B2CF9AE}" pid="6" name="MSIP_Label_b05923b3-4e86-4aa9-9018-d7e3c1e08536_SiteId">
    <vt:lpwstr>66a13ed4-5c17-4ee8-ba28-778da8cdd7d4</vt:lpwstr>
  </property>
  <property fmtid="{D5CDD505-2E9C-101B-9397-08002B2CF9AE}" pid="7" name="MSIP_Label_b05923b3-4e86-4aa9-9018-d7e3c1e08536_ActionId">
    <vt:lpwstr>bd845f00-4e51-4661-bdc3-f0bf140f5268</vt:lpwstr>
  </property>
  <property fmtid="{D5CDD505-2E9C-101B-9397-08002B2CF9AE}" pid="8" name="MSIP_Label_b05923b3-4e86-4aa9-9018-d7e3c1e08536_ContentBits">
    <vt:lpwstr>0</vt:lpwstr>
  </property>
</Properties>
</file>