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2D63" w14:textId="1319F191" w:rsidR="00252853" w:rsidRPr="003D2F6E" w:rsidRDefault="00252853" w:rsidP="0079029E">
      <w:pPr>
        <w:tabs>
          <w:tab w:val="left" w:pos="905"/>
          <w:tab w:val="right" w:pos="9298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808080"/>
          <w:sz w:val="20"/>
          <w:szCs w:val="20"/>
          <w:shd w:val="clear" w:color="auto" w:fill="FFFFFF"/>
        </w:rPr>
      </w:pPr>
      <w:r w:rsidRPr="003D2F6E">
        <w:rPr>
          <w:rFonts w:ascii="Tahoma" w:hAnsi="Tahoma" w:cs="Tahoma"/>
          <w:color w:val="808080"/>
          <w:sz w:val="20"/>
          <w:szCs w:val="20"/>
          <w:lang w:eastAsia="pl-PL"/>
        </w:rPr>
        <w:t xml:space="preserve">Warszawa, </w:t>
      </w:r>
      <w:r w:rsidR="00582BF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29</w:t>
      </w:r>
      <w:r w:rsidR="00D346EF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582BF5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października </w:t>
      </w:r>
      <w:r w:rsidR="003F5CE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2019</w:t>
      </w:r>
      <w:r w:rsidRPr="003D2F6E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r.</w:t>
      </w:r>
    </w:p>
    <w:p w14:paraId="5EDFF76B" w14:textId="77777777" w:rsidR="00384406" w:rsidRDefault="008C05F6" w:rsidP="0079029E">
      <w:pPr>
        <w:spacing w:line="360" w:lineRule="auto"/>
        <w:jc w:val="center"/>
        <w:rPr>
          <w:rFonts w:ascii="Tahoma" w:hAnsi="Tahoma" w:cs="Tahoma"/>
          <w:b/>
          <w:color w:val="FFC000"/>
          <w:szCs w:val="18"/>
        </w:rPr>
      </w:pP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65A689FA" wp14:editId="4108325B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6" name="Obraz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280B488" wp14:editId="4E9ABFB0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3810" b="3810"/>
            <wp:wrapNone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1B8AD90" wp14:editId="44E732FF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5" name="Obraz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221"/>
        <w:tblW w:w="9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6776"/>
        <w:gridCol w:w="3118"/>
      </w:tblGrid>
      <w:tr w:rsidR="002D7AB3" w14:paraId="751C01E6" w14:textId="77777777" w:rsidTr="003F79C1">
        <w:tc>
          <w:tcPr>
            <w:tcW w:w="6776" w:type="dxa"/>
          </w:tcPr>
          <w:p w14:paraId="5123B683" w14:textId="18EF21C8" w:rsidR="00A768ED" w:rsidRPr="00A768ED" w:rsidRDefault="00384406" w:rsidP="00384406">
            <w:pPr>
              <w:spacing w:line="360" w:lineRule="auto"/>
              <w:rPr>
                <w:rFonts w:ascii="Tahoma" w:hAnsi="Tahoma" w:cs="Tahoma"/>
                <w:b/>
                <w:color w:val="808080" w:themeColor="background1" w:themeShade="80"/>
                <w:sz w:val="24"/>
                <w:szCs w:val="18"/>
              </w:rPr>
            </w:pPr>
            <w:r w:rsidRPr="00AF326F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#</w:t>
            </w:r>
            <w:proofErr w:type="spellStart"/>
            <w:r w:rsidR="00582BF5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wynikifinansowe</w:t>
            </w:r>
            <w:proofErr w:type="spellEnd"/>
            <w:r w:rsidR="004875E8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 xml:space="preserve"> </w:t>
            </w:r>
          </w:p>
          <w:p w14:paraId="621D95FB" w14:textId="77777777" w:rsidR="00A768ED" w:rsidRDefault="00A768ED" w:rsidP="00384406">
            <w:pPr>
              <w:spacing w:line="360" w:lineRule="auto"/>
              <w:rPr>
                <w:rFonts w:ascii="Tahoma" w:hAnsi="Tahoma" w:cs="Tahoma"/>
                <w:b/>
                <w:color w:val="FFC000"/>
                <w:sz w:val="24"/>
                <w:szCs w:val="18"/>
              </w:rPr>
            </w:pPr>
          </w:p>
          <w:p w14:paraId="240FA895" w14:textId="31081577" w:rsidR="002D7AB3" w:rsidRDefault="00582BF5" w:rsidP="00384406">
            <w:pPr>
              <w:spacing w:line="360" w:lineRule="auto"/>
              <w:rPr>
                <w:rFonts w:ascii="Tahoma" w:hAnsi="Tahoma" w:cs="Tahoma"/>
                <w:b/>
                <w:color w:val="FFC000"/>
                <w:sz w:val="24"/>
              </w:rPr>
            </w:pPr>
            <w:r>
              <w:rPr>
                <w:rFonts w:ascii="Tahoma" w:hAnsi="Tahoma" w:cs="Tahoma"/>
                <w:b/>
                <w:color w:val="FFC000"/>
                <w:sz w:val="24"/>
              </w:rPr>
              <w:t>Wyniki Grupy Budimex po III kwartałach 2019 r.</w:t>
            </w:r>
          </w:p>
          <w:p w14:paraId="07C33346" w14:textId="77777777" w:rsidR="007C4EEE" w:rsidRDefault="007C4EEE" w:rsidP="00F33ECF">
            <w:pPr>
              <w:spacing w:line="360" w:lineRule="auto"/>
              <w:rPr>
                <w:rFonts w:ascii="Tahoma" w:hAnsi="Tahoma" w:cs="Tahoma"/>
                <w:b/>
                <w:color w:val="FFC000"/>
              </w:rPr>
            </w:pPr>
          </w:p>
          <w:p w14:paraId="0B9C3FFE" w14:textId="6FC1385E" w:rsidR="00215880" w:rsidRDefault="00582BF5" w:rsidP="0021588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  <w:r w:rsidRPr="00582BF5">
              <w:rPr>
                <w:rFonts w:ascii="Tahoma" w:hAnsi="Tahoma" w:cs="Tahoma"/>
                <w:color w:val="7F7F7F" w:themeColor="text1" w:themeTint="80"/>
                <w:sz w:val="18"/>
              </w:rPr>
              <w:t>Sprzedaż po trzech kwartałach 2019 roku porównywalna rok do roku</w:t>
            </w:r>
            <w:r w:rsidRPr="00582BF5">
              <w:rPr>
                <w:rFonts w:ascii="Tahoma" w:hAnsi="Tahoma" w:cs="Tahoma"/>
                <w:color w:val="7F7F7F" w:themeColor="text1" w:themeTint="80"/>
                <w:sz w:val="18"/>
              </w:rPr>
              <w:t xml:space="preserve"> </w:t>
            </w:r>
          </w:p>
          <w:p w14:paraId="629C71B9" w14:textId="41376BFE" w:rsidR="00582BF5" w:rsidRDefault="00582BF5" w:rsidP="0021588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  <w:r w:rsidRPr="00582BF5">
              <w:rPr>
                <w:rFonts w:ascii="Tahoma" w:hAnsi="Tahoma" w:cs="Tahoma"/>
                <w:color w:val="7F7F7F" w:themeColor="text1" w:themeTint="80"/>
                <w:sz w:val="18"/>
              </w:rPr>
              <w:t>Rentowność zysku brutto Grupy Budimex wyniosła 4,0%</w:t>
            </w:r>
          </w:p>
          <w:p w14:paraId="0636D5B4" w14:textId="4F81202D" w:rsidR="00582BF5" w:rsidRDefault="00582BF5" w:rsidP="0021588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</w:rPr>
              <w:t>R</w:t>
            </w:r>
            <w:r w:rsidRPr="00582BF5">
              <w:rPr>
                <w:rFonts w:ascii="Tahoma" w:hAnsi="Tahoma" w:cs="Tahoma"/>
                <w:color w:val="7F7F7F" w:themeColor="text1" w:themeTint="80"/>
                <w:sz w:val="18"/>
              </w:rPr>
              <w:t>ealizacja większości trudnych kontraktów podpisanych kilka lat temu, została zakończona.</w:t>
            </w:r>
          </w:p>
          <w:p w14:paraId="24BF7598" w14:textId="77777777" w:rsidR="00215880" w:rsidRPr="00215880" w:rsidRDefault="00215880" w:rsidP="00215880">
            <w:pPr>
              <w:pStyle w:val="Akapitzlist"/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</w:p>
          <w:p w14:paraId="29949ECA" w14:textId="77777777" w:rsidR="00582BF5" w:rsidRPr="00582BF5" w:rsidRDefault="00215880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459C6F91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 </w:t>
            </w: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t xml:space="preserve">Sytuacja rynkowa: </w:t>
            </w:r>
          </w:p>
          <w:p w14:paraId="1D70F2C2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Produkcja budowlano-montażowa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wzrosła po trzech kwartałach 2019 roku o 9% osiągając poziom 73 mld złotych </w:t>
            </w:r>
          </w:p>
          <w:p w14:paraId="111DB13B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Dane GUS wskazują na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niewielką poprawę rentowności największych podmiotów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: wskaźnik rentowności brutto w pierwszym półroczu 2019 roku wyniósł 1,4% w porównaniu do -0,4% w pierwszym półroczu 2018 roku.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Mniejsze spółki korzystają ze wzrostu rynku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, ich rentowność brutto w pierwszym półroczu osiągnęła 10% </w:t>
            </w:r>
          </w:p>
          <w:p w14:paraId="3B24D31D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Pomimo ogólnej niewielkiej poprawy rentowności,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kolejne miesiące przynoszą rozwiązane umowy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i dalsze pogorszenie sytuacji finansowej części podmiotów </w:t>
            </w:r>
          </w:p>
          <w:p w14:paraId="0EC3DF99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0B659ED1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FFC00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t xml:space="preserve">Wyniki Grupy Budimex: </w:t>
            </w:r>
          </w:p>
          <w:p w14:paraId="548A6E2C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Sprzedaż po trzech kwartałach 2019 roku była porównywalna rok do roku i osiągnęła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poziom 5,38 mld złotych </w:t>
            </w:r>
          </w:p>
          <w:p w14:paraId="5DB17B4E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Rentowność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zysku brutto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Grupy Budimex wyniosła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4,0%.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Natomiast w samym trzecim kwartale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rentowność osiągnęła poziom 4,9%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m.in. ze względu na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zmianę umowy wsparcia strategicznego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(redukcja wynagrodzenia z 0,5% do 0,33% przychodów ze sprzedaży) i jednorazowe powiększenie wyniku o 34,8 mln złotych </w:t>
            </w:r>
          </w:p>
          <w:p w14:paraId="7CD439B2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Rentowność zysku brutto w segmencie budowlanym była relatywnie dobra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i wyniosła 2,7% (w porównaniu do 3,8% w analogicznym okresie 2018 roku) </w:t>
            </w:r>
          </w:p>
          <w:p w14:paraId="74B6641D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lastRenderedPageBreak/>
              <w:t xml:space="preserve">▪ Segment deweloperski osiągnął bardzo dobrą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rentowność zysku brutto na poziomie 17,3% </w:t>
            </w:r>
          </w:p>
          <w:p w14:paraId="142B8F85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Począwszy od lipca w segmencie usługowym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rozpoczęliśmy konsolidację wyników Grupy </w:t>
            </w:r>
            <w:proofErr w:type="spellStart"/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FBSerwis</w:t>
            </w:r>
            <w:proofErr w:type="spellEnd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. W trzecim kwartale Grupa </w:t>
            </w:r>
            <w:proofErr w:type="spellStart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>FBSerwis</w:t>
            </w:r>
            <w:proofErr w:type="spellEnd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 osiągnęła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131 mln złotych sprzedaży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oraz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17 mln złotych zysku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operacyjnego </w:t>
            </w:r>
          </w:p>
          <w:p w14:paraId="662D92D8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D6744C7" w14:textId="4F2B446E" w:rsid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t xml:space="preserve">Sytuacja gotówkowa Grupy Budimex: </w:t>
            </w:r>
          </w:p>
          <w:p w14:paraId="49ED0F6B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FFC000"/>
                <w:sz w:val="20"/>
                <w:shd w:val="clear" w:color="auto" w:fill="FFFFFF"/>
              </w:rPr>
            </w:pPr>
          </w:p>
          <w:p w14:paraId="7DC67E1A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Na koniec września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stan gotówki netto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Grupy Budimex wyniósł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570 mln złotych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i był zbliżony do poziomu z końca trzeciego kwartału roku ubiegłego </w:t>
            </w:r>
          </w:p>
          <w:p w14:paraId="42E0965E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W trzecim kwartale,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pomimo wydatku na zakup </w:t>
            </w:r>
            <w:proofErr w:type="spellStart"/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FBSerwis</w:t>
            </w:r>
            <w:proofErr w:type="spellEnd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,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saldo gotówki netto uległo poprawie o 306 mln złotych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w porównaniu do stanu z końca drugiego kwartału </w:t>
            </w:r>
          </w:p>
          <w:p w14:paraId="3CF575C8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Gotówka pozostaje pod presją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opóźnień po stronie inwestorów w procesie akceptacji i fakturowania </w:t>
            </w:r>
          </w:p>
          <w:p w14:paraId="2A093646" w14:textId="3E73D1AE" w:rsidR="00A958F3" w:rsidRDefault="00A958F3" w:rsidP="000C2CA0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C3FC72A" w14:textId="77777777" w:rsidR="00A958F3" w:rsidRDefault="00A958F3" w:rsidP="000C2CA0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6C8BD66" w14:textId="3B10C258" w:rsid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t xml:space="preserve">Wyniki segmentu budowlanego Grupy Budimex: </w:t>
            </w:r>
          </w:p>
          <w:p w14:paraId="0CFC8948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FFC000"/>
                <w:sz w:val="20"/>
                <w:shd w:val="clear" w:color="auto" w:fill="FFFFFF"/>
              </w:rPr>
            </w:pPr>
          </w:p>
          <w:p w14:paraId="0E16EF7D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Sprzedaż segmentu budowlanego wzrosła o 1%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osiągając dynamikę nieco niższą niż branża – niezmiennie koncentrujemy się na budowie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rentownego portfela zamówień </w:t>
            </w:r>
          </w:p>
          <w:p w14:paraId="20EE4496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Rentowność zysku brutto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części budowlanej wyniosła 2,7%,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znacznie powyżej benchmarku rynkowego </w:t>
            </w:r>
          </w:p>
          <w:p w14:paraId="6FC9EE7A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Portfel zamówień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Grupy Budimex utrzymał się na wysokim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poziomie 10,7 mld złotych. </w:t>
            </w:r>
          </w:p>
          <w:p w14:paraId="30CEC32B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Dzięki podpisaniu kolejnego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kontraktu kolejowego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na linii Most Wisła - Czechowice-Dziedzice – Zabrzeg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weszliśmy do grona liderów w tym obszarze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. Atrakcyjnie wyglądają również prace w segmencie hydrotechnicznym, gdzie z sukcesem realizujemy m.in.: zbiornik przeciwpowodziowy w Raciborzu oraz zbiornik poprzemysłowy dla KGHM </w:t>
            </w:r>
          </w:p>
          <w:p w14:paraId="07222469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Tempo kontraktacji w kolejnych kwartałach może ulec osłabieniu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ze względu na niedoszacowane budżety inwestorskie oraz przeciągające się procesy przetargowe </w:t>
            </w:r>
          </w:p>
          <w:p w14:paraId="43DB972D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5A437AAE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FFC00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lastRenderedPageBreak/>
              <w:t xml:space="preserve">Wyniki segmentu deweloperskiego Grupy Budimex: </w:t>
            </w:r>
          </w:p>
          <w:p w14:paraId="69C63D2D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Klienci Budimex Nieruchomości w ciągu pierwszych trzech kwartałów roku podpisali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1 229 aktów notarialnych </w:t>
            </w:r>
          </w:p>
          <w:p w14:paraId="7525CAA0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Rozszerzenie oferty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dało efekt w postaci wysokiej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przedsprzedaży na poziomie 1 286 mieszkań </w:t>
            </w:r>
          </w:p>
          <w:p w14:paraId="45DB4FD0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Przychody segmentu deweloperskiego wzrosły o 3% i wyniosły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422 miliony złotych,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zysk brutto 73 miliony złotych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przy wysokiej rentowności 17,3% </w:t>
            </w:r>
          </w:p>
          <w:p w14:paraId="0991C9CA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Aktualna oferta Budimex Nieruchomości to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nieco ponad 1 700 mieszkań w 5 lokalizacjach </w:t>
            </w:r>
          </w:p>
          <w:p w14:paraId="3875369A" w14:textId="77777777" w:rsidR="004875E8" w:rsidRDefault="004875E8" w:rsidP="000C2CA0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22E64FB4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AAF7239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b/>
                <w:bCs/>
                <w:color w:val="FFC000"/>
                <w:sz w:val="20"/>
                <w:shd w:val="clear" w:color="auto" w:fill="FFFFFF"/>
              </w:rPr>
              <w:t>Najbliższe kwartały okiem Grupy Budimex</w:t>
            </w:r>
          </w:p>
          <w:p w14:paraId="09F9C7F8" w14:textId="77777777" w:rsid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88C6A5A" w14:textId="37BDDDFB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Sytuacja Grupy Budimex jest stabilna,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a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wysoki poziom portfela zamówień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pozwala na w pełni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efektywne wykorzystanie zasobów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i zabezpiecza front prac na najbliższe kilka kwartałów </w:t>
            </w:r>
          </w:p>
          <w:p w14:paraId="3DD90737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Średnia rentowność portfela jest relatywnie dobra,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a realizacja większości trudnych kontraktów z obszaru infrastruktury oraz budownictwa ogólnego, podpisanych kilka lat temu, została zakończona. Rentowność segmentu energetyki pozostaje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pod presją kontraktów w Turowie oraz Wilnie </w:t>
            </w:r>
          </w:p>
          <w:p w14:paraId="49F6A105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Zidentyfikowane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straty na projektach w realizacji są uwzględnione w wynikach,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dlatego też nie spodziewamy się znacznych zmian rentowności portfela. Złożyliśmy też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pierwsze roszczenia sądowe o ponadnormatywny wzrost cen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na podstawie klauzuli „rebus sic </w:t>
            </w:r>
            <w:proofErr w:type="spellStart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>stantibus</w:t>
            </w:r>
            <w:proofErr w:type="spellEnd"/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” </w:t>
            </w:r>
          </w:p>
          <w:p w14:paraId="158C2711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Ceny materiałów ropopochodnych, stali i kruszywa są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zbliżone do poziomu z roku ubiegłego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. W dalszym ciągu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obserwujemy wzrost kosztów robocizny i usług podwykonawczych </w:t>
            </w:r>
          </w:p>
          <w:p w14:paraId="3CC38062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▪ Ciągle obserwujemy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agresywne zachowania konkurencji 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– składane odważne oferty przez podmioty, które często nie mają lokalnego doświadczenia w realizacji, nie są weryfikowane przez zamawiających.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Warunki kontraktowe nie poprawiają się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, dlatego wyzwaniem na najbliższe kwartały pozostaje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zrównoważenie </w:t>
            </w:r>
            <w:proofErr w:type="spellStart"/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ryzyk</w:t>
            </w:r>
            <w:proofErr w:type="spellEnd"/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 miedzy wykonawcami i zamawiającymi </w:t>
            </w:r>
          </w:p>
          <w:p w14:paraId="3320F4D6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lastRenderedPageBreak/>
              <w:t xml:space="preserve">▪ Sytuacja na rynku pracy poprawia się,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>braki kadrowe w branży są niższe</w:t>
            </w:r>
            <w:r w:rsidRPr="00582BF5"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  <w:t xml:space="preserve">. Problemem ciągle pozostaje </w:t>
            </w:r>
            <w:r w:rsidRPr="00582BF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hd w:val="clear" w:color="auto" w:fill="FFFFFF"/>
              </w:rPr>
              <w:t xml:space="preserve">dostępność wykwalikowanych pracowników z obszaru kolejowego </w:t>
            </w:r>
          </w:p>
          <w:p w14:paraId="125D894A" w14:textId="77777777" w:rsidR="00582BF5" w:rsidRPr="00582BF5" w:rsidRDefault="00582BF5" w:rsidP="00582BF5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4EC3CF0" w14:textId="77777777" w:rsidR="004875E8" w:rsidRDefault="004875E8" w:rsidP="000C2CA0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36F56C14" w14:textId="77777777" w:rsidR="004875E8" w:rsidRDefault="004875E8" w:rsidP="000C2CA0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hd w:val="clear" w:color="auto" w:fill="FFFFFF"/>
              </w:rPr>
            </w:pPr>
          </w:p>
          <w:p w14:paraId="73F37105" w14:textId="77777777" w:rsidR="00A768ED" w:rsidRPr="003E7DCD" w:rsidRDefault="003E7DCD" w:rsidP="003E7DCD">
            <w:pPr>
              <w:spacing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</w:pPr>
            <w:r w:rsidRPr="003E7DCD"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  <w:t>***</w:t>
            </w:r>
          </w:p>
          <w:p w14:paraId="5D43C1A1" w14:textId="77777777" w:rsidR="00384406" w:rsidRPr="00AF326F" w:rsidRDefault="000D612C" w:rsidP="00384406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808080"/>
                <w:sz w:val="16"/>
                <w:szCs w:val="12"/>
              </w:rPr>
            </w:pPr>
            <w:r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BU</w:t>
            </w:r>
            <w:r w:rsidR="00384406" w:rsidRPr="00AF326F"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DIMEX SA</w:t>
            </w:r>
            <w:r w:rsidR="00D346EF"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 spółką z pięćdziesięcioletnią tradycją, która ma znaczący udział w rozwoju gospodarczym Polski. Naszą pracą podnosimy jakość życia milionów Polaków. W okresie 5</w:t>
            </w:r>
            <w:r w:rsidR="000D27C2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1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facility</w:t>
            </w:r>
            <w:proofErr w:type="spellEnd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management (obsługa nieruchomości i obiektów infrastruktury) oraz gospodarki odpadami. Od 1995 roku nasza spółka notowana jest na warszawskiej GPW, a od roku 2011 wchodzi w skład indeksu RESPECT – najbardziej odpowiedzialnych spółek giełdowych. Jej inwestorem strategicznym jest hiszpańska firma o globalnym zasięgu – Ferrovial. W skład grupy wchodzą: Budimex Nieruchomości i Mostostal Kraków.</w:t>
            </w:r>
            <w:r w:rsidR="00D346E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0B681E39" w14:textId="77777777" w:rsidR="00384406" w:rsidRDefault="00384406" w:rsidP="000D27C2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  <w:tc>
          <w:tcPr>
            <w:tcW w:w="3118" w:type="dxa"/>
          </w:tcPr>
          <w:p w14:paraId="345C374A" w14:textId="77777777" w:rsidR="00384406" w:rsidRDefault="00384406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50C1EFC4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3B1822E5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27FF8C3A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11B3492A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260A9DA9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04F283A" w14:textId="77777777" w:rsidR="002D7AB3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</w:p>
          <w:p w14:paraId="77C6E5A6" w14:textId="77777777" w:rsidR="002D7AB3" w:rsidRPr="00AF326F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465146F" w14:textId="77777777" w:rsidR="002D7AB3" w:rsidRPr="00AF326F" w:rsidRDefault="00AF326F" w:rsidP="002D7AB3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Michał Wrzosek </w:t>
            </w:r>
            <w:r w:rsidR="002D7AB3" w:rsidRPr="00AF326F">
              <w:rPr>
                <w:rFonts w:ascii="Verdana" w:hAnsi="Verdana" w:cs="Tahoma"/>
                <w:color w:val="808080"/>
                <w:sz w:val="18"/>
                <w:szCs w:val="18"/>
              </w:rPr>
              <w:t>Rzecznik Prasowy</w:t>
            </w:r>
          </w:p>
          <w:p w14:paraId="54CDA33D" w14:textId="77777777" w:rsidR="002D7AB3" w:rsidRPr="00AF326F" w:rsidRDefault="002D7AB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6FFC4ED9" w14:textId="77777777" w:rsidR="002D7AB3" w:rsidRPr="00AF326F" w:rsidRDefault="00F11D32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4" w:history="1">
              <w:r w:rsidR="002D7AB3" w:rsidRPr="00AF326F">
                <w:rPr>
                  <w:rStyle w:val="Hipercze"/>
                  <w:rFonts w:ascii="Verdana" w:hAnsi="Verdana" w:cs="Tahoma"/>
                  <w:color w:val="808080"/>
                  <w:sz w:val="18"/>
                  <w:szCs w:val="18"/>
                </w:rPr>
                <w:t>michal.wrzosek@budimex.pl</w:t>
              </w:r>
            </w:hyperlink>
          </w:p>
          <w:p w14:paraId="3D69C60E" w14:textId="77777777" w:rsidR="00AF326F" w:rsidRPr="00AF326F" w:rsidRDefault="00F11D32" w:rsidP="00AF326F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AF326F" w:rsidRPr="00AF326F">
                <w:rPr>
                  <w:rStyle w:val="Hipercze"/>
                  <w:rFonts w:ascii="Tahoma" w:hAnsi="Tahoma" w:cs="Tahoma"/>
                  <w:iCs/>
                  <w:color w:val="7F7F7F" w:themeColor="text1" w:themeTint="80"/>
                  <w:sz w:val="18"/>
                  <w:szCs w:val="18"/>
                </w:rPr>
                <w:t>www.media.budimex.pl</w:t>
              </w:r>
            </w:hyperlink>
          </w:p>
          <w:p w14:paraId="1DDFDE3B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305D3A6D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3973BE5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5BE180EE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</w:tr>
    </w:tbl>
    <w:p w14:paraId="4E81D3C8" w14:textId="77777777" w:rsidR="00D61446" w:rsidRDefault="00D61446" w:rsidP="0079029E">
      <w:pPr>
        <w:spacing w:line="360" w:lineRule="auto"/>
      </w:pPr>
    </w:p>
    <w:sectPr w:rsidR="00D61446" w:rsidSect="00256CE3">
      <w:head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B873" w14:textId="77777777" w:rsidR="00F11D32" w:rsidRDefault="00F11D32">
      <w:pPr>
        <w:spacing w:after="0" w:line="240" w:lineRule="auto"/>
      </w:pPr>
      <w:r>
        <w:separator/>
      </w:r>
    </w:p>
  </w:endnote>
  <w:endnote w:type="continuationSeparator" w:id="0">
    <w:p w14:paraId="2185CBF9" w14:textId="77777777" w:rsidR="00F11D32" w:rsidRDefault="00F1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9DF8" w14:textId="77777777" w:rsidR="00F11D32" w:rsidRDefault="00F11D32">
      <w:pPr>
        <w:spacing w:after="0" w:line="240" w:lineRule="auto"/>
      </w:pPr>
      <w:r>
        <w:separator/>
      </w:r>
    </w:p>
  </w:footnote>
  <w:footnote w:type="continuationSeparator" w:id="0">
    <w:p w14:paraId="716A41CD" w14:textId="77777777" w:rsidR="00F11D32" w:rsidRDefault="00F1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5ED6" w14:textId="77777777" w:rsidR="007610D5" w:rsidRDefault="00384406" w:rsidP="00763BDA">
    <w:pPr>
      <w:pStyle w:val="Nagwek"/>
      <w:tabs>
        <w:tab w:val="clear" w:pos="4536"/>
        <w:tab w:val="clear" w:pos="9072"/>
        <w:tab w:val="left" w:pos="785"/>
        <w:tab w:val="left" w:pos="3828"/>
      </w:tabs>
      <w:rPr>
        <w:rFonts w:ascii="Tahoma" w:hAnsi="Tahoma" w:cs="Tahoma"/>
        <w:b/>
        <w:bCs/>
        <w:color w:val="808080"/>
        <w:sz w:val="28"/>
        <w:szCs w:val="28"/>
      </w:rPr>
    </w:pP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9656A40" wp14:editId="22AA0EAA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mex_PRINC_neg_CMY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F82F" w14:textId="77777777" w:rsidR="007610D5" w:rsidRPr="003D2F6E" w:rsidRDefault="003F4DC6" w:rsidP="00763BDA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  <w:r w:rsidRPr="003D2F6E">
      <w:rPr>
        <w:rFonts w:ascii="Tahoma" w:hAnsi="Tahoma" w:cs="Tahoma"/>
        <w:b/>
        <w:bCs/>
        <w:color w:val="808080"/>
        <w:sz w:val="28"/>
        <w:szCs w:val="28"/>
      </w:rPr>
      <w:t>Informacja prasowa</w:t>
    </w:r>
  </w:p>
  <w:p w14:paraId="1909DEA5" w14:textId="77777777" w:rsidR="00763BDA" w:rsidRPr="00763BDA" w:rsidRDefault="00F11D32" w:rsidP="00763BDA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6pt;height:9.6pt" o:bullet="t">
        <v:imagedata r:id="rId1" o:title="j0115836"/>
      </v:shape>
    </w:pict>
  </w:numPicBullet>
  <w:abstractNum w:abstractNumId="0" w15:restartNumberingAfterBreak="0">
    <w:nsid w:val="230657E6"/>
    <w:multiLevelType w:val="hybridMultilevel"/>
    <w:tmpl w:val="994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087"/>
    <w:multiLevelType w:val="hybridMultilevel"/>
    <w:tmpl w:val="2E526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139"/>
    <w:multiLevelType w:val="hybridMultilevel"/>
    <w:tmpl w:val="0798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60C9"/>
    <w:multiLevelType w:val="hybridMultilevel"/>
    <w:tmpl w:val="B4469A24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53"/>
    <w:rsid w:val="00002990"/>
    <w:rsid w:val="00062882"/>
    <w:rsid w:val="00063ED2"/>
    <w:rsid w:val="00071746"/>
    <w:rsid w:val="000C2CA0"/>
    <w:rsid w:val="000C7831"/>
    <w:rsid w:val="000D27C2"/>
    <w:rsid w:val="000D612C"/>
    <w:rsid w:val="000E6993"/>
    <w:rsid w:val="000F41C8"/>
    <w:rsid w:val="00110DF3"/>
    <w:rsid w:val="00126F36"/>
    <w:rsid w:val="001935C7"/>
    <w:rsid w:val="001A5A48"/>
    <w:rsid w:val="001E23CE"/>
    <w:rsid w:val="001E656C"/>
    <w:rsid w:val="001E6D4F"/>
    <w:rsid w:val="001E77E7"/>
    <w:rsid w:val="001F379D"/>
    <w:rsid w:val="001F782C"/>
    <w:rsid w:val="00215880"/>
    <w:rsid w:val="002519AE"/>
    <w:rsid w:val="00252853"/>
    <w:rsid w:val="00253948"/>
    <w:rsid w:val="002637CA"/>
    <w:rsid w:val="00264CF2"/>
    <w:rsid w:val="002774E8"/>
    <w:rsid w:val="00281104"/>
    <w:rsid w:val="002D7AB3"/>
    <w:rsid w:val="002E0188"/>
    <w:rsid w:val="00311B22"/>
    <w:rsid w:val="00322BD7"/>
    <w:rsid w:val="00335AD8"/>
    <w:rsid w:val="0033634D"/>
    <w:rsid w:val="003401D6"/>
    <w:rsid w:val="00353D31"/>
    <w:rsid w:val="00384406"/>
    <w:rsid w:val="003960B7"/>
    <w:rsid w:val="003A3F93"/>
    <w:rsid w:val="003B2758"/>
    <w:rsid w:val="003D1EE1"/>
    <w:rsid w:val="003E7DCD"/>
    <w:rsid w:val="003F09D5"/>
    <w:rsid w:val="003F4DC6"/>
    <w:rsid w:val="003F5CE5"/>
    <w:rsid w:val="003F79C1"/>
    <w:rsid w:val="00403B75"/>
    <w:rsid w:val="00410630"/>
    <w:rsid w:val="00415E7D"/>
    <w:rsid w:val="00431317"/>
    <w:rsid w:val="004553F5"/>
    <w:rsid w:val="00465F70"/>
    <w:rsid w:val="004752F1"/>
    <w:rsid w:val="004875E8"/>
    <w:rsid w:val="004A676F"/>
    <w:rsid w:val="004B1F47"/>
    <w:rsid w:val="004D5E78"/>
    <w:rsid w:val="004E1746"/>
    <w:rsid w:val="004F174F"/>
    <w:rsid w:val="00506265"/>
    <w:rsid w:val="005129E9"/>
    <w:rsid w:val="005130F0"/>
    <w:rsid w:val="0052169B"/>
    <w:rsid w:val="00561A93"/>
    <w:rsid w:val="005738F3"/>
    <w:rsid w:val="00582BF5"/>
    <w:rsid w:val="005B5268"/>
    <w:rsid w:val="005E7528"/>
    <w:rsid w:val="006007D0"/>
    <w:rsid w:val="006013E6"/>
    <w:rsid w:val="006134F8"/>
    <w:rsid w:val="00616F9B"/>
    <w:rsid w:val="00621AE8"/>
    <w:rsid w:val="00623817"/>
    <w:rsid w:val="00627E64"/>
    <w:rsid w:val="006729B0"/>
    <w:rsid w:val="006805CE"/>
    <w:rsid w:val="00687227"/>
    <w:rsid w:val="006A75DA"/>
    <w:rsid w:val="006C4B34"/>
    <w:rsid w:val="006D0D59"/>
    <w:rsid w:val="006D6AFC"/>
    <w:rsid w:val="006E32AC"/>
    <w:rsid w:val="006E47C3"/>
    <w:rsid w:val="006F7F72"/>
    <w:rsid w:val="007213E9"/>
    <w:rsid w:val="007220FE"/>
    <w:rsid w:val="00753BF6"/>
    <w:rsid w:val="00757D64"/>
    <w:rsid w:val="0078515E"/>
    <w:rsid w:val="00786C2D"/>
    <w:rsid w:val="0079029E"/>
    <w:rsid w:val="007965D4"/>
    <w:rsid w:val="007978C8"/>
    <w:rsid w:val="007B44E5"/>
    <w:rsid w:val="007C4EEE"/>
    <w:rsid w:val="007D08F7"/>
    <w:rsid w:val="007D611C"/>
    <w:rsid w:val="00804CFB"/>
    <w:rsid w:val="00810D6E"/>
    <w:rsid w:val="008277E3"/>
    <w:rsid w:val="00830E84"/>
    <w:rsid w:val="008541D0"/>
    <w:rsid w:val="00857CD2"/>
    <w:rsid w:val="008823D1"/>
    <w:rsid w:val="008A20D2"/>
    <w:rsid w:val="008A4076"/>
    <w:rsid w:val="008B0505"/>
    <w:rsid w:val="008C05F6"/>
    <w:rsid w:val="008C6E44"/>
    <w:rsid w:val="008D5F8C"/>
    <w:rsid w:val="008E2525"/>
    <w:rsid w:val="008F011D"/>
    <w:rsid w:val="008F7BA4"/>
    <w:rsid w:val="0091489E"/>
    <w:rsid w:val="009163B3"/>
    <w:rsid w:val="009516DE"/>
    <w:rsid w:val="00961BAB"/>
    <w:rsid w:val="00970F2E"/>
    <w:rsid w:val="00994FEB"/>
    <w:rsid w:val="00996143"/>
    <w:rsid w:val="009A20B7"/>
    <w:rsid w:val="009A58DC"/>
    <w:rsid w:val="009B1C62"/>
    <w:rsid w:val="00A06E11"/>
    <w:rsid w:val="00A16A1F"/>
    <w:rsid w:val="00A362F7"/>
    <w:rsid w:val="00A36B20"/>
    <w:rsid w:val="00A75788"/>
    <w:rsid w:val="00A768ED"/>
    <w:rsid w:val="00A958F3"/>
    <w:rsid w:val="00AF326F"/>
    <w:rsid w:val="00B2754A"/>
    <w:rsid w:val="00B30C42"/>
    <w:rsid w:val="00B33258"/>
    <w:rsid w:val="00B51C9F"/>
    <w:rsid w:val="00BD317D"/>
    <w:rsid w:val="00BD60E6"/>
    <w:rsid w:val="00C00AAD"/>
    <w:rsid w:val="00C65557"/>
    <w:rsid w:val="00C76E12"/>
    <w:rsid w:val="00C80B3E"/>
    <w:rsid w:val="00C857FB"/>
    <w:rsid w:val="00CA6DF8"/>
    <w:rsid w:val="00CA7C77"/>
    <w:rsid w:val="00CC5C6C"/>
    <w:rsid w:val="00CD2C75"/>
    <w:rsid w:val="00CF50C8"/>
    <w:rsid w:val="00D029AA"/>
    <w:rsid w:val="00D07E19"/>
    <w:rsid w:val="00D23166"/>
    <w:rsid w:val="00D346EF"/>
    <w:rsid w:val="00D61446"/>
    <w:rsid w:val="00D65FC8"/>
    <w:rsid w:val="00D660A2"/>
    <w:rsid w:val="00DB32EE"/>
    <w:rsid w:val="00DB6537"/>
    <w:rsid w:val="00DD3572"/>
    <w:rsid w:val="00DE40E4"/>
    <w:rsid w:val="00E22E23"/>
    <w:rsid w:val="00E24D5D"/>
    <w:rsid w:val="00E7437E"/>
    <w:rsid w:val="00E77995"/>
    <w:rsid w:val="00E86F9C"/>
    <w:rsid w:val="00E96C98"/>
    <w:rsid w:val="00EA679F"/>
    <w:rsid w:val="00EF00FC"/>
    <w:rsid w:val="00F01378"/>
    <w:rsid w:val="00F11D32"/>
    <w:rsid w:val="00F33ECF"/>
    <w:rsid w:val="00F461D0"/>
    <w:rsid w:val="00F77961"/>
    <w:rsid w:val="00F90378"/>
    <w:rsid w:val="00F96FE7"/>
    <w:rsid w:val="00FA3584"/>
    <w:rsid w:val="00FD78E5"/>
    <w:rsid w:val="00FE57F5"/>
    <w:rsid w:val="00FF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9CB2"/>
  <w15:docId w15:val="{6DDDC06D-A9D4-44E6-8E5A-DCBF32D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53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8B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05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8B050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F7C42E"/>
            <w:right w:val="none" w:sz="0" w:space="0" w:color="auto"/>
          </w:divBdr>
        </w:div>
        <w:div w:id="130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udimex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udimex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edia.budimex.pl" TargetMode="External"/><Relationship Id="rId10" Type="http://schemas.openxmlformats.org/officeDocument/2006/relationships/hyperlink" Target="https://www.facebook.com/Budimexs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l.wrzosek@budime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E804-D6EC-4529-A2E5-9AC0EC39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Bełza</dc:creator>
  <cp:lastModifiedBy>Wrzosek, Michał</cp:lastModifiedBy>
  <cp:revision>2</cp:revision>
  <cp:lastPrinted>2019-01-31T08:34:00Z</cp:lastPrinted>
  <dcterms:created xsi:type="dcterms:W3CDTF">2019-10-29T06:55:00Z</dcterms:created>
  <dcterms:modified xsi:type="dcterms:W3CDTF">2019-10-29T06:55:00Z</dcterms:modified>
</cp:coreProperties>
</file>