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8D56CEF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D1388C">
        <w:rPr>
          <w:rFonts w:ascii="Tahoma" w:eastAsia="Tahoma" w:hAnsi="Tahoma" w:cs="Tahoma"/>
          <w:color w:val="808080"/>
          <w:sz w:val="20"/>
          <w:szCs w:val="20"/>
        </w:rPr>
        <w:t>2</w:t>
      </w:r>
      <w:r w:rsidR="00247589">
        <w:rPr>
          <w:rFonts w:ascii="Tahoma" w:eastAsia="Tahoma" w:hAnsi="Tahoma" w:cs="Tahoma"/>
          <w:color w:val="808080"/>
          <w:sz w:val="20"/>
          <w:szCs w:val="20"/>
        </w:rPr>
        <w:t>7</w:t>
      </w:r>
      <w:r w:rsidR="00B96E9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D1388C">
        <w:rPr>
          <w:rFonts w:ascii="Tahoma" w:eastAsia="Tahoma" w:hAnsi="Tahoma" w:cs="Tahoma"/>
          <w:color w:val="808080"/>
          <w:sz w:val="20"/>
          <w:szCs w:val="20"/>
        </w:rPr>
        <w:t>lutego</w:t>
      </w:r>
      <w:r w:rsidR="00B5622E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2586E7E2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B5622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CSR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9B64F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O</w:t>
            </w:r>
            <w:r w:rsidR="0035455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dpowiedzialność</w:t>
            </w:r>
            <w:r w:rsidR="009B64F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</w:t>
            </w:r>
            <w:r w:rsidR="0035455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połeczna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38B9B2F6" w14:textId="2F60A0D4" w:rsidR="00DE3C90" w:rsidRPr="00DE3C90" w:rsidRDefault="00B5622E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B562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DC14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podsumowuje</w:t>
            </w:r>
            <w:r w:rsidRPr="00B562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ws</w:t>
            </w:r>
            <w:r w:rsidR="004C548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półpracę z Fundacją Zwolnieni z </w:t>
            </w:r>
            <w:r w:rsidRPr="00B562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Teorii</w:t>
            </w:r>
          </w:p>
          <w:p w14:paraId="030C4C94" w14:textId="77777777" w:rsidR="00DE3C90" w:rsidRPr="00DE3C90" w:rsidRDefault="00DE3C90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B66464C" w14:textId="096CFB3D" w:rsidR="006774E1" w:rsidRPr="00285560" w:rsidRDefault="000A4C01" w:rsidP="001F0F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Budimex wraz z Fundacją Zw</w:t>
            </w:r>
            <w:r w:rsidR="00354556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olnieni z Teorii odwiedził 127  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techników</w:t>
            </w:r>
            <w:r w:rsidR="009B64F4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w Polsce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4E5F869E" w14:textId="59070133" w:rsidR="00AB41A5" w:rsidRDefault="000A4C01" w:rsidP="001F0F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Wspólnie stworzyli projekt „Praktyka, która z Tobą zostanie”.</w:t>
            </w:r>
          </w:p>
          <w:p w14:paraId="5AA86C69" w14:textId="144BD3CF" w:rsidR="00B5622E" w:rsidRDefault="000A4C01" w:rsidP="00005967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Uczniowie w 34 zespołach pracują nad projektami społecznymi.</w:t>
            </w:r>
          </w:p>
          <w:p w14:paraId="762B03F4" w14:textId="5754E449" w:rsidR="007D5952" w:rsidRDefault="00B5622E" w:rsidP="00005967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Budimex stawia na młodych. </w:t>
            </w:r>
            <w:r w:rsidR="00CE0C5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Generalny wykonawca </w:t>
            </w:r>
            <w:r w:rsidR="00F95CB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kontynuuje</w:t>
            </w:r>
            <w:r w:rsidR="00CE0C5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współpracę z </w:t>
            </w:r>
            <w:r w:rsidR="00CE0C5E"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Fundacją Zwolnieni z Teorii </w:t>
            </w:r>
            <w:r w:rsidR="00CE0C5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– </w:t>
            </w:r>
            <w:r w:rsidR="00F95CB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organizacją, która</w:t>
            </w:r>
            <w:r w:rsidR="00173EB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2A29C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 oparciu o</w:t>
            </w:r>
            <w:r w:rsidR="002A29CD">
              <w:t xml:space="preserve"> </w:t>
            </w:r>
            <w:r w:rsidR="002A29CD" w:rsidRPr="002A29C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nowoczesną metodykę nauczania</w:t>
            </w:r>
            <w:r w:rsidR="004B598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,</w:t>
            </w:r>
            <w:r w:rsidR="002A29CD" w:rsidRPr="002A29C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rozwija </w:t>
            </w:r>
            <w:r w:rsidR="004B598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u młodzieży </w:t>
            </w:r>
            <w:r w:rsidR="002A29CD" w:rsidRPr="002A29C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kompetencje proinnowacyjne, potrzebne w pracy i prawdziwym życiu takie jak: empatia i poczucie sprawstwa, kreatywność, praca zespołowa, komunikacja czy rozwiązywanie problemów. </w:t>
            </w:r>
            <w:r w:rsidR="007D595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Akcja </w:t>
            </w:r>
            <w:r w:rsidR="00D335C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jest</w:t>
            </w:r>
            <w:r w:rsidR="007D595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kierowana do </w:t>
            </w: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uczniów i uczennic techników budowlanych oraz </w:t>
            </w:r>
            <w:r w:rsidR="00D335C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ma</w:t>
            </w:r>
            <w:r w:rsidR="007D595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na celu </w:t>
            </w: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rozwinięci</w:t>
            </w:r>
            <w:r w:rsidR="007D595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e</w:t>
            </w: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ich kompetencji</w:t>
            </w:r>
            <w:r w:rsidR="007D595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</w:p>
          <w:p w14:paraId="1C857850" w14:textId="77777777" w:rsidR="00DC14A9" w:rsidRDefault="00DC14A9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E78A537" w14:textId="12031A04" w:rsidR="00B96E92" w:rsidRDefault="0063272D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Budimex wraz z Fundacją Zwolnieni z </w:t>
            </w:r>
            <w:r w:rsidR="005040A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eorii </w:t>
            </w:r>
            <w:r w:rsidR="00B5622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odby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</w:t>
            </w:r>
            <w:r w:rsidR="00B5622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trasę po szkołach w całym kraju i</w:t>
            </w:r>
            <w:r w:rsidR="006B0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 </w:t>
            </w:r>
            <w:r w:rsidR="00B5622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stworzy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</w:t>
            </w:r>
            <w:r w:rsidR="00B5622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auto</w:t>
            </w:r>
            <w:r w:rsidR="0056227F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rski program „Praktyka, która z </w:t>
            </w:r>
            <w:r w:rsidR="00B5622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Tobą zostanie”. </w:t>
            </w:r>
            <w:r w:rsidR="00E30453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Dzięki niemu </w:t>
            </w:r>
            <w:r w:rsidR="00B5622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34 zespoł</w:t>
            </w:r>
            <w:r w:rsidR="0056227F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y </w:t>
            </w:r>
            <w:r w:rsidR="00E30453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studentów </w:t>
            </w:r>
            <w:r w:rsidR="00E8306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od listopada 2022 roku </w:t>
            </w:r>
            <w:r w:rsidR="0056227F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pracują nad projektami CSR</w:t>
            </w:r>
            <w:r w:rsidR="00D45DA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-owymi</w:t>
            </w:r>
            <w:r w:rsidR="00DE1E35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  <w:r w:rsidR="0056227F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CA79EA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Uczniowie, którzy przystąpili do programu mogą liczyć na wsparcie merytoryczne ze strony Budimeksu</w:t>
            </w:r>
            <w:r w:rsidR="00CA79EA">
              <w:rPr>
                <w:rFonts w:ascii="Tahoma" w:eastAsia="Tahoma" w:hAnsi="Tahoma" w:cs="Tahoma"/>
                <w:color w:val="747678"/>
                <w:sz w:val="18"/>
                <w:szCs w:val="18"/>
              </w:rPr>
              <w:t>. Eksperci firmy na bieżąco odpowiadają na pytania młodzieży poprzez specjalnie utworzony kanał komunikacyjny, a w </w:t>
            </w:r>
            <w:r w:rsidR="00CA79EA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styczniu została zorganizowana sesja Q&amp;A z</w:t>
            </w:r>
            <w:r w:rsidR="00DC150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e </w:t>
            </w:r>
            <w:r w:rsidR="00CA79EA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specjalistami.</w:t>
            </w:r>
          </w:p>
          <w:p w14:paraId="108056E4" w14:textId="269215A3" w:rsidR="00E83069" w:rsidRDefault="00E83069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D54D984" w14:textId="0023A763" w:rsidR="00E83069" w:rsidRPr="00E83069" w:rsidRDefault="00E83069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336B5">
              <w:rPr>
                <w:rFonts w:ascii="Tahoma" w:eastAsia="Tahoma" w:hAnsi="Tahoma" w:cs="Tahoma"/>
                <w:color w:val="747678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C336B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Cieszymy się, że mo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żemy wspierać system edukacji i </w:t>
            </w:r>
            <w:r w:rsidRPr="00C336B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dzielić się z młodzieżą </w:t>
            </w:r>
            <w:r w:rsidR="00B52BA8" w:rsidRPr="00C336B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praktyczną </w:t>
            </w:r>
            <w:r w:rsidRPr="00C336B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wiedzą w zakresie budownictwa w celu wsparcia systemu edukacji. Mamy nadzieję, że uda nam się też zachęcić uczniów do podejmowania studiów na kierunkach związanych z budownictwem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mówi Marta Soboń, Kierownik Działu Rekrutacji i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Employer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Brandingu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Budimeksie</w:t>
            </w:r>
            <w:r w:rsidRPr="00C336B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22CD2B81" w14:textId="77777777" w:rsidR="00B5622E" w:rsidRDefault="00B5622E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6C94398" w14:textId="58D94BEF" w:rsidR="00B5622E" w:rsidRDefault="00E71983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rozpoczął współpracę z Fundacją Zwolnieni z Teorii w ubiegłym roku.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początku wśród uczniów techników budowlanych zostało przeprowadzone badanie, którego celem</w:t>
            </w:r>
            <w:r w:rsidR="0056227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było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zebranie informacji o rozpoznawalności marki, a także o planach zawodowych młodzieży. Ankietę online wypełniło 355 osób. We wrześniu 2022 roku </w:t>
            </w:r>
            <w:r w:rsid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pracownicy Budimeksu wraz z Fundacją Zwolnieni z Teorii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wyruszyli w trasę do wybranych techników w całej Polsce. Udało się dotr</w:t>
            </w:r>
            <w:r w:rsidR="000A4C01">
              <w:rPr>
                <w:rFonts w:ascii="Tahoma" w:eastAsia="Tahoma" w:hAnsi="Tahoma" w:cs="Tahoma"/>
                <w:color w:val="747678"/>
                <w:sz w:val="18"/>
                <w:szCs w:val="18"/>
              </w:rPr>
              <w:t>zeć do 127 szkół osobiście, a w 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spotkaniach wzięło udział prawie 12 tys. uczniów. Ponadto do 70 placówek zostały wysłane materiały promocyjne w ramach trasy zdalnej. </w:t>
            </w:r>
          </w:p>
          <w:p w14:paraId="1E7475CD" w14:textId="77777777" w:rsidR="00B5622E" w:rsidRPr="00B5622E" w:rsidRDefault="00B5622E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BB151E8" w14:textId="06557013" w:rsidR="00E71983" w:rsidRDefault="00B5622E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Odwiedziny szkół zaowocowały nawiązaniem współpracy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Budimeksu 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prawie </w:t>
            </w:r>
            <w:r w:rsidR="000A4C01">
              <w:rPr>
                <w:rFonts w:ascii="Tahoma" w:eastAsia="Tahoma" w:hAnsi="Tahoma" w:cs="Tahoma"/>
                <w:color w:val="747678"/>
                <w:sz w:val="18"/>
                <w:szCs w:val="18"/>
              </w:rPr>
              <w:t>40 </w:t>
            </w:r>
            <w:r w:rsidR="00DC10B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technikami na terenie kraju. Pracownicy firmy zaczęli już 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przeprowadzać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wykłady edukacyjne dla uczniów</w:t>
            </w:r>
            <w:r w:rsidR="00DC10B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tych placówek.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M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łodzież 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została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też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zaproszona na dni otwarte na inwestycjach największego generalnego wykonawcy w Polsce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- na budowie dworca Warszawa Zachodnia, Portu Gdynia i k</w:t>
            </w:r>
            <w:r w:rsidR="00B4623A" w:rsidRP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olejow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ego</w:t>
            </w:r>
            <w:r w:rsidR="00B4623A" w:rsidRP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most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 w:rsidR="00B4623A" w:rsidRP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zwodzon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ego</w:t>
            </w:r>
            <w:r w:rsidR="00B4623A" w:rsidRP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nad </w:t>
            </w:r>
            <w:proofErr w:type="spellStart"/>
            <w:r w:rsidR="00B4623A" w:rsidRP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Regalicą</w:t>
            </w:r>
            <w:proofErr w:type="spellEnd"/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="00B55644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Podjuchach.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Uczniowie mają też możliwość 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odbycia praktyk w firmie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które wystartują od </w:t>
            </w:r>
            <w:r w:rsidR="00BD664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1 </w:t>
            </w:r>
            <w:r w:rsidR="00B4623A">
              <w:rPr>
                <w:rFonts w:ascii="Tahoma" w:eastAsia="Tahoma" w:hAnsi="Tahoma" w:cs="Tahoma"/>
                <w:color w:val="747678"/>
                <w:sz w:val="18"/>
                <w:szCs w:val="18"/>
              </w:rPr>
              <w:t>marca br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35455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71EFCC18" w14:textId="77777777" w:rsidR="00B5622E" w:rsidRPr="00B5622E" w:rsidRDefault="00B5622E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71A6439" w14:textId="001D5E65" w:rsidR="00B5622E" w:rsidRDefault="00C336B5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Nagrodzone zostaną t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rzy najlepsze projekty,</w:t>
            </w:r>
            <w:r w:rsid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 zwycięskim szkołom Budimex ufunduje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zależności od potrzeb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 w:rsidR="00B5622E"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odnowienie sali albo wyposaże</w:t>
            </w:r>
            <w:r w:rsidR="000A4C01">
              <w:rPr>
                <w:rFonts w:ascii="Tahoma" w:eastAsia="Tahoma" w:hAnsi="Tahoma" w:cs="Tahoma"/>
                <w:color w:val="747678"/>
                <w:sz w:val="18"/>
                <w:szCs w:val="18"/>
              </w:rPr>
              <w:t>nie jej w sprzęt np. </w:t>
            </w:r>
            <w:r w:rsid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komputery. </w:t>
            </w:r>
            <w:r w:rsidR="005D00D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Już 2</w:t>
            </w:r>
            <w:r w:rsidR="00B4623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1</w:t>
            </w:r>
            <w:r w:rsidR="005D00D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kwietnia </w:t>
            </w:r>
            <w:r w:rsidR="00B4623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na warszawskim Służewcu </w:t>
            </w:r>
            <w:r w:rsidR="005D00DE" w:rsidRPr="007D59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odbędzie się uroczysty finał, który podsumuje dokonania młodych talentów.</w:t>
            </w:r>
          </w:p>
          <w:p w14:paraId="6C5E6AB5" w14:textId="77777777" w:rsidR="00F026A0" w:rsidRDefault="00F026A0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D308E2C" w14:textId="24693CF2" w:rsidR="00F026A0" w:rsidRDefault="000A4C01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od dawna wspiera młodych ludzi na ich drodze</w:t>
            </w:r>
            <w:r w:rsidR="0035455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kariery. Od wi</w:t>
            </w:r>
            <w:r w:rsidR="00F5546A">
              <w:rPr>
                <w:rFonts w:ascii="Tahoma" w:eastAsia="Tahoma" w:hAnsi="Tahoma" w:cs="Tahoma"/>
                <w:color w:val="747678"/>
                <w:sz w:val="18"/>
                <w:szCs w:val="18"/>
              </w:rPr>
              <w:t>elu lat trwa program praktyk, dzięki któremu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już ponad 1400 osób</w:t>
            </w:r>
            <w:r w:rsidR="0035455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zdobyło pierwsze doświadczenia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zawodowe. </w:t>
            </w:r>
            <w:r w:rsidRPr="000A4C01">
              <w:rPr>
                <w:rFonts w:ascii="Tahoma" w:eastAsia="Tahoma" w:hAnsi="Tahoma" w:cs="Tahoma"/>
                <w:color w:val="747678"/>
                <w:sz w:val="18"/>
                <w:szCs w:val="18"/>
              </w:rPr>
              <w:t>Dużym sukcesem okazał się także Konkurs Budimex Startup Challenge, skierowany do innowacyjnych przedsiębiorstw i młodych spółek technologicznych oferujących produkty, usługi i rozwiązania w obszarze energetyki, odnawialnych źródeł energii i ekologicznych technologii w budownictwie.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 nawiązał też współpracę </w:t>
            </w:r>
            <w:r w:rsidR="004510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uczniami krakowskiego liceum, którzy zwyciężyli w konkursie </w:t>
            </w:r>
            <w:r w:rsidRPr="000A4C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Europejskiej Agencji Kosmicznej. </w:t>
            </w:r>
          </w:p>
          <w:p w14:paraId="70B6761F" w14:textId="77777777" w:rsidR="00B5622E" w:rsidRPr="00B5622E" w:rsidRDefault="00B5622E" w:rsidP="00B5622E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A83D039" w14:textId="77777777" w:rsidR="00B5622E" w:rsidRPr="00B5622E" w:rsidRDefault="00B5622E" w:rsidP="00B5622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Fundacja Zwolnieni z Teorii</w:t>
            </w:r>
          </w:p>
          <w:p w14:paraId="00C784BF" w14:textId="19D55E7B" w:rsidR="00C336B5" w:rsidRDefault="00B5622E" w:rsidP="00C336B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Zwolnieni z Teorii powstali w 2013 roku jako u</w:t>
            </w:r>
            <w:r w:rsidR="000A4C01">
              <w:rPr>
                <w:rFonts w:ascii="Tahoma" w:eastAsia="Tahoma" w:hAnsi="Tahoma" w:cs="Tahoma"/>
                <w:color w:val="747678"/>
                <w:sz w:val="18"/>
                <w:szCs w:val="18"/>
              </w:rPr>
              <w:t>zupełnienie edukacji szkolnej o 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praktyczne umiejętności. Młodzi ludzie pracując nad swoim projektem społecznym, rozwijają kompetencje takie jak: empatia, poczucie sprawstwa, kreatywność, praca zespołowa, komunikacja czy rozwiązywanie problemów. Dodatkowo od 2019 roku działa platforma nauczycielska, dzięki której nauczyciele Zwolnionych z Teorii mogą wspierać młodzież w procesie projektowym. </w:t>
            </w:r>
            <w:bookmarkStart w:id="0" w:name="_heading=h.e0i1r2bc3d01" w:colFirst="0" w:colLast="0"/>
            <w:bookmarkEnd w:id="0"/>
          </w:p>
          <w:p w14:paraId="22DE84BD" w14:textId="77777777" w:rsidR="00B5622E" w:rsidRPr="00AD6A2F" w:rsidRDefault="00B5622E" w:rsidP="00B5622E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 xml:space="preserve">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BD6646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BD6646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C46B" w14:textId="77777777" w:rsidR="00B47E96" w:rsidRDefault="00B47E96">
      <w:pPr>
        <w:spacing w:after="0" w:line="240" w:lineRule="auto"/>
      </w:pPr>
      <w:r>
        <w:separator/>
      </w:r>
    </w:p>
  </w:endnote>
  <w:endnote w:type="continuationSeparator" w:id="0">
    <w:p w14:paraId="2B953A00" w14:textId="77777777" w:rsidR="00B47E96" w:rsidRDefault="00B4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A2A8" w14:textId="77777777" w:rsidR="00B47E96" w:rsidRDefault="00B47E96">
      <w:pPr>
        <w:spacing w:after="0" w:line="240" w:lineRule="auto"/>
      </w:pPr>
      <w:r>
        <w:separator/>
      </w:r>
    </w:p>
  </w:footnote>
  <w:footnote w:type="continuationSeparator" w:id="0">
    <w:p w14:paraId="12B651F8" w14:textId="77777777" w:rsidR="00B47E96" w:rsidRDefault="00B4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2330615">
    <w:abstractNumId w:val="1"/>
  </w:num>
  <w:num w:numId="2" w16cid:durableId="968319478">
    <w:abstractNumId w:val="2"/>
  </w:num>
  <w:num w:numId="3" w16cid:durableId="69149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35098"/>
    <w:rsid w:val="00045270"/>
    <w:rsid w:val="00080FC8"/>
    <w:rsid w:val="000A4C01"/>
    <w:rsid w:val="00125D50"/>
    <w:rsid w:val="0015128F"/>
    <w:rsid w:val="00170C68"/>
    <w:rsid w:val="00172D1D"/>
    <w:rsid w:val="00173EB3"/>
    <w:rsid w:val="00192890"/>
    <w:rsid w:val="001C6FB2"/>
    <w:rsid w:val="001F0F39"/>
    <w:rsid w:val="00203086"/>
    <w:rsid w:val="00222B1F"/>
    <w:rsid w:val="002342F3"/>
    <w:rsid w:val="00237B08"/>
    <w:rsid w:val="00247589"/>
    <w:rsid w:val="00257F24"/>
    <w:rsid w:val="002653BF"/>
    <w:rsid w:val="00271280"/>
    <w:rsid w:val="0027391F"/>
    <w:rsid w:val="00285560"/>
    <w:rsid w:val="002A29CD"/>
    <w:rsid w:val="002A2CBA"/>
    <w:rsid w:val="002B0328"/>
    <w:rsid w:val="002E37BE"/>
    <w:rsid w:val="00307758"/>
    <w:rsid w:val="00354556"/>
    <w:rsid w:val="00382795"/>
    <w:rsid w:val="003B0035"/>
    <w:rsid w:val="003B1DAE"/>
    <w:rsid w:val="003C023E"/>
    <w:rsid w:val="003E3E21"/>
    <w:rsid w:val="00425428"/>
    <w:rsid w:val="004510D6"/>
    <w:rsid w:val="00463DB1"/>
    <w:rsid w:val="00473F87"/>
    <w:rsid w:val="00482FFC"/>
    <w:rsid w:val="0048734C"/>
    <w:rsid w:val="0049557E"/>
    <w:rsid w:val="00496A69"/>
    <w:rsid w:val="004B3484"/>
    <w:rsid w:val="004B36C2"/>
    <w:rsid w:val="004B598E"/>
    <w:rsid w:val="004C5485"/>
    <w:rsid w:val="004C6F43"/>
    <w:rsid w:val="004D23DB"/>
    <w:rsid w:val="004D2CB9"/>
    <w:rsid w:val="004F28EB"/>
    <w:rsid w:val="005040A1"/>
    <w:rsid w:val="0056227F"/>
    <w:rsid w:val="00580DBC"/>
    <w:rsid w:val="00591F2A"/>
    <w:rsid w:val="005B2870"/>
    <w:rsid w:val="005C7B13"/>
    <w:rsid w:val="005D00DE"/>
    <w:rsid w:val="005E5391"/>
    <w:rsid w:val="0060483B"/>
    <w:rsid w:val="006152E1"/>
    <w:rsid w:val="00617FB9"/>
    <w:rsid w:val="00621025"/>
    <w:rsid w:val="0063272D"/>
    <w:rsid w:val="00664B42"/>
    <w:rsid w:val="006774E1"/>
    <w:rsid w:val="006B01D8"/>
    <w:rsid w:val="006B23E5"/>
    <w:rsid w:val="006B73ED"/>
    <w:rsid w:val="006C2C8C"/>
    <w:rsid w:val="006C6F4E"/>
    <w:rsid w:val="00733A2E"/>
    <w:rsid w:val="00734D0A"/>
    <w:rsid w:val="00753410"/>
    <w:rsid w:val="00754E9F"/>
    <w:rsid w:val="007619F3"/>
    <w:rsid w:val="00764B40"/>
    <w:rsid w:val="007B1336"/>
    <w:rsid w:val="007D553B"/>
    <w:rsid w:val="007D5952"/>
    <w:rsid w:val="007F3184"/>
    <w:rsid w:val="007F3CC7"/>
    <w:rsid w:val="00800D2C"/>
    <w:rsid w:val="00815A09"/>
    <w:rsid w:val="00821D89"/>
    <w:rsid w:val="00845EC4"/>
    <w:rsid w:val="008717D3"/>
    <w:rsid w:val="008745A4"/>
    <w:rsid w:val="00876DE2"/>
    <w:rsid w:val="00885B0E"/>
    <w:rsid w:val="00910344"/>
    <w:rsid w:val="009709D2"/>
    <w:rsid w:val="00994841"/>
    <w:rsid w:val="009967C2"/>
    <w:rsid w:val="009A2909"/>
    <w:rsid w:val="009B64F4"/>
    <w:rsid w:val="009E7EE5"/>
    <w:rsid w:val="00A0236D"/>
    <w:rsid w:val="00A51B54"/>
    <w:rsid w:val="00A60D9C"/>
    <w:rsid w:val="00A751EB"/>
    <w:rsid w:val="00A82601"/>
    <w:rsid w:val="00A95F3C"/>
    <w:rsid w:val="00AB13B2"/>
    <w:rsid w:val="00AB41A5"/>
    <w:rsid w:val="00AD373B"/>
    <w:rsid w:val="00AD6A2F"/>
    <w:rsid w:val="00AE517C"/>
    <w:rsid w:val="00AF0FF9"/>
    <w:rsid w:val="00AF7CB0"/>
    <w:rsid w:val="00B12F71"/>
    <w:rsid w:val="00B4623A"/>
    <w:rsid w:val="00B47E96"/>
    <w:rsid w:val="00B52BA8"/>
    <w:rsid w:val="00B55644"/>
    <w:rsid w:val="00B5622E"/>
    <w:rsid w:val="00B738C4"/>
    <w:rsid w:val="00B751FE"/>
    <w:rsid w:val="00B96E92"/>
    <w:rsid w:val="00BA7C09"/>
    <w:rsid w:val="00BD6646"/>
    <w:rsid w:val="00C336B5"/>
    <w:rsid w:val="00C353E3"/>
    <w:rsid w:val="00C448E6"/>
    <w:rsid w:val="00C712F5"/>
    <w:rsid w:val="00C74D83"/>
    <w:rsid w:val="00CA3C4C"/>
    <w:rsid w:val="00CA79EA"/>
    <w:rsid w:val="00CE0C5E"/>
    <w:rsid w:val="00CE5E73"/>
    <w:rsid w:val="00D1388C"/>
    <w:rsid w:val="00D15404"/>
    <w:rsid w:val="00D25679"/>
    <w:rsid w:val="00D269A5"/>
    <w:rsid w:val="00D335C5"/>
    <w:rsid w:val="00D40B49"/>
    <w:rsid w:val="00D45DAE"/>
    <w:rsid w:val="00D62673"/>
    <w:rsid w:val="00D65E13"/>
    <w:rsid w:val="00D67D0B"/>
    <w:rsid w:val="00D87525"/>
    <w:rsid w:val="00DB27C9"/>
    <w:rsid w:val="00DC033A"/>
    <w:rsid w:val="00DC10BD"/>
    <w:rsid w:val="00DC14A9"/>
    <w:rsid w:val="00DC1504"/>
    <w:rsid w:val="00DC7985"/>
    <w:rsid w:val="00DD67EE"/>
    <w:rsid w:val="00DE1E35"/>
    <w:rsid w:val="00DE3C90"/>
    <w:rsid w:val="00DF25E5"/>
    <w:rsid w:val="00E24F1A"/>
    <w:rsid w:val="00E30453"/>
    <w:rsid w:val="00E31E81"/>
    <w:rsid w:val="00E43C68"/>
    <w:rsid w:val="00E55592"/>
    <w:rsid w:val="00E71983"/>
    <w:rsid w:val="00E83069"/>
    <w:rsid w:val="00E94BF7"/>
    <w:rsid w:val="00ED4BD3"/>
    <w:rsid w:val="00ED5AE6"/>
    <w:rsid w:val="00F026A0"/>
    <w:rsid w:val="00F1073B"/>
    <w:rsid w:val="00F479B6"/>
    <w:rsid w:val="00F5546A"/>
    <w:rsid w:val="00F70BEA"/>
    <w:rsid w:val="00F95CB8"/>
    <w:rsid w:val="00FB124C"/>
    <w:rsid w:val="00FB12A7"/>
    <w:rsid w:val="00FD2F0C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E043F4AA-2E6A-47C9-AB2A-CFC767A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9D3E344D-9CB1-4DDB-B4BE-0BB2C3445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Zyglewska, Diana</cp:lastModifiedBy>
  <cp:revision>10</cp:revision>
  <dcterms:created xsi:type="dcterms:W3CDTF">2023-02-23T08:23:00Z</dcterms:created>
  <dcterms:modified xsi:type="dcterms:W3CDTF">2023-02-27T08:33:00Z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