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C383" w14:textId="5F29AD4D" w:rsidR="00D824D3" w:rsidRDefault="00F65CEF">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eastAsia="Tahoma" w:hAnsi="Tahoma" w:cs="Tahoma"/>
          <w:color w:val="808080"/>
          <w:sz w:val="20"/>
          <w:szCs w:val="20"/>
        </w:rPr>
        <w:tab/>
      </w:r>
      <w:r>
        <w:rPr>
          <w:rFonts w:ascii="Tahoma" w:eastAsia="Tahoma" w:hAnsi="Tahoma" w:cs="Tahoma"/>
          <w:color w:val="808080"/>
          <w:sz w:val="20"/>
          <w:szCs w:val="20"/>
        </w:rPr>
        <w:tab/>
        <w:t>Warszawa,</w:t>
      </w:r>
      <w:r w:rsidR="00DA12A6">
        <w:rPr>
          <w:rFonts w:ascii="Tahoma" w:eastAsia="Tahoma" w:hAnsi="Tahoma" w:cs="Tahoma"/>
          <w:color w:val="808080"/>
          <w:sz w:val="20"/>
          <w:szCs w:val="20"/>
        </w:rPr>
        <w:t xml:space="preserve"> </w:t>
      </w:r>
      <w:r w:rsidR="00775CAB">
        <w:rPr>
          <w:rFonts w:ascii="Tahoma" w:eastAsia="Tahoma" w:hAnsi="Tahoma" w:cs="Tahoma"/>
          <w:color w:val="808080"/>
          <w:sz w:val="20"/>
          <w:szCs w:val="20"/>
        </w:rPr>
        <w:t>2</w:t>
      </w:r>
      <w:r w:rsidR="00BF1497">
        <w:rPr>
          <w:rFonts w:ascii="Tahoma" w:eastAsia="Tahoma" w:hAnsi="Tahoma" w:cs="Tahoma"/>
          <w:color w:val="808080"/>
          <w:sz w:val="20"/>
          <w:szCs w:val="20"/>
        </w:rPr>
        <w:t>4</w:t>
      </w:r>
      <w:r w:rsidR="00775CAB">
        <w:rPr>
          <w:rFonts w:ascii="Tahoma" w:eastAsia="Tahoma" w:hAnsi="Tahoma" w:cs="Tahoma"/>
          <w:color w:val="808080"/>
          <w:sz w:val="20"/>
          <w:szCs w:val="20"/>
        </w:rPr>
        <w:t xml:space="preserve"> </w:t>
      </w:r>
      <w:r w:rsidR="00360B0E">
        <w:rPr>
          <w:rFonts w:ascii="Tahoma" w:eastAsia="Tahoma" w:hAnsi="Tahoma" w:cs="Tahoma"/>
          <w:color w:val="808080"/>
          <w:sz w:val="20"/>
          <w:szCs w:val="20"/>
        </w:rPr>
        <w:t>lutego</w:t>
      </w:r>
      <w:r w:rsidR="004E039F">
        <w:rPr>
          <w:rFonts w:ascii="Tahoma" w:eastAsia="Tahoma" w:hAnsi="Tahoma" w:cs="Tahoma"/>
          <w:color w:val="808080"/>
          <w:sz w:val="20"/>
          <w:szCs w:val="20"/>
        </w:rPr>
        <w:t xml:space="preserve"> </w:t>
      </w:r>
      <w:r w:rsidR="00360B0E">
        <w:rPr>
          <w:rFonts w:ascii="Tahoma" w:eastAsia="Tahoma" w:hAnsi="Tahoma" w:cs="Tahoma"/>
          <w:color w:val="808080"/>
          <w:sz w:val="20"/>
          <w:szCs w:val="20"/>
          <w:highlight w:val="white"/>
        </w:rPr>
        <w:t>2021</w:t>
      </w:r>
      <w:r w:rsidR="00B63B5B">
        <w:rPr>
          <w:rFonts w:ascii="Tahoma" w:eastAsia="Tahoma" w:hAnsi="Tahoma" w:cs="Tahoma"/>
          <w:color w:val="808080"/>
          <w:sz w:val="20"/>
          <w:szCs w:val="20"/>
          <w:highlight w:val="white"/>
        </w:rPr>
        <w:t xml:space="preserve"> r.</w:t>
      </w:r>
    </w:p>
    <w:p w14:paraId="09B71CDC" w14:textId="3529084D" w:rsidR="00D824D3" w:rsidRDefault="00B63B5B">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2629EEB8" wp14:editId="0DCB8AED">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8920" cy="248920"/>
                    </a:xfrm>
                    <a:prstGeom prst="rect">
                      <a:avLst/>
                    </a:prstGeom>
                    <a:ln/>
                  </pic:spPr>
                </pic:pic>
              </a:graphicData>
            </a:graphic>
          </wp:anchor>
        </w:drawing>
      </w:r>
    </w:p>
    <w:tbl>
      <w:tblPr>
        <w:tblStyle w:val="a8"/>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D824D3" w:rsidRPr="00775CAB" w14:paraId="18FE4A91" w14:textId="77777777">
        <w:tc>
          <w:tcPr>
            <w:tcW w:w="7159" w:type="dxa"/>
          </w:tcPr>
          <w:p w14:paraId="50DAD41A" w14:textId="2B47C6DE" w:rsidR="00D824D3" w:rsidRPr="00775CAB" w:rsidRDefault="00F65CEF">
            <w:pPr>
              <w:spacing w:line="360" w:lineRule="auto"/>
              <w:rPr>
                <w:rFonts w:ascii="Tahoma" w:eastAsia="Tahoma" w:hAnsi="Tahoma" w:cs="Tahoma"/>
                <w:bCs/>
                <w:color w:val="7F7F7F"/>
                <w:sz w:val="24"/>
                <w:szCs w:val="24"/>
                <w:highlight w:val="white"/>
              </w:rPr>
            </w:pPr>
            <w:r w:rsidRPr="00775CAB">
              <w:rPr>
                <w:rFonts w:ascii="Tahoma" w:eastAsia="Tahoma" w:hAnsi="Tahoma" w:cs="Tahoma"/>
                <w:bCs/>
                <w:color w:val="7F7F7F"/>
                <w:sz w:val="24"/>
                <w:szCs w:val="24"/>
                <w:highlight w:val="white"/>
              </w:rPr>
              <w:t>#</w:t>
            </w:r>
            <w:r w:rsidR="00775CAB" w:rsidRPr="00775CAB">
              <w:rPr>
                <w:rFonts w:ascii="Tahoma" w:eastAsia="Tahoma" w:hAnsi="Tahoma" w:cs="Tahoma"/>
                <w:bCs/>
                <w:color w:val="7F7F7F"/>
                <w:sz w:val="24"/>
                <w:szCs w:val="24"/>
                <w:highlight w:val="white"/>
              </w:rPr>
              <w:t>wynikifinansowe</w:t>
            </w:r>
            <w:r w:rsidR="004E7219">
              <w:rPr>
                <w:rFonts w:ascii="Tahoma" w:eastAsia="Tahoma" w:hAnsi="Tahoma" w:cs="Tahoma"/>
                <w:bCs/>
                <w:color w:val="7F7F7F"/>
                <w:sz w:val="24"/>
                <w:szCs w:val="24"/>
                <w:highlight w:val="white"/>
              </w:rPr>
              <w:t xml:space="preserve"> </w:t>
            </w:r>
          </w:p>
          <w:p w14:paraId="7607BB6A" w14:textId="77777777" w:rsidR="00D824D3" w:rsidRPr="00775CAB" w:rsidRDefault="00D824D3">
            <w:pPr>
              <w:spacing w:line="360" w:lineRule="auto"/>
              <w:jc w:val="both"/>
              <w:rPr>
                <w:rFonts w:ascii="Tahoma" w:eastAsia="Tahoma" w:hAnsi="Tahoma" w:cs="Tahoma"/>
                <w:bCs/>
                <w:color w:val="7F7F7F"/>
                <w:sz w:val="24"/>
                <w:szCs w:val="24"/>
                <w:highlight w:val="white"/>
              </w:rPr>
            </w:pPr>
          </w:p>
          <w:p w14:paraId="3D71A51E" w14:textId="44072B44" w:rsidR="00D51FBF" w:rsidRDefault="00775CAB" w:rsidP="00D51FBF">
            <w:pPr>
              <w:pBdr>
                <w:top w:val="nil"/>
                <w:left w:val="nil"/>
                <w:bottom w:val="nil"/>
                <w:right w:val="nil"/>
                <w:between w:val="nil"/>
              </w:pBdr>
              <w:spacing w:line="360" w:lineRule="auto"/>
              <w:jc w:val="center"/>
              <w:rPr>
                <w:rFonts w:ascii="Tahoma" w:eastAsia="Tahoma" w:hAnsi="Tahoma" w:cs="Tahoma"/>
                <w:b/>
                <w:color w:val="7F7F7F" w:themeColor="text1" w:themeTint="80"/>
              </w:rPr>
            </w:pPr>
            <w:r w:rsidRPr="00775CAB">
              <w:rPr>
                <w:rFonts w:ascii="Tahoma" w:eastAsia="Tahoma" w:hAnsi="Tahoma" w:cs="Tahoma"/>
                <w:b/>
                <w:color w:val="7F7F7F" w:themeColor="text1" w:themeTint="80"/>
              </w:rPr>
              <w:t>Komentarz prezesa Zarządu Budimeksu SA</w:t>
            </w:r>
          </w:p>
          <w:p w14:paraId="4136047E" w14:textId="6213B30E" w:rsidR="00D51FBF" w:rsidRDefault="00775CAB" w:rsidP="00D51FBF">
            <w:pPr>
              <w:pBdr>
                <w:top w:val="nil"/>
                <w:left w:val="nil"/>
                <w:bottom w:val="nil"/>
                <w:right w:val="nil"/>
                <w:between w:val="nil"/>
              </w:pBdr>
              <w:spacing w:line="360" w:lineRule="auto"/>
              <w:jc w:val="center"/>
              <w:rPr>
                <w:rFonts w:ascii="Tahoma" w:eastAsia="Tahoma" w:hAnsi="Tahoma" w:cs="Tahoma"/>
                <w:b/>
                <w:color w:val="7F7F7F" w:themeColor="text1" w:themeTint="80"/>
              </w:rPr>
            </w:pPr>
            <w:r w:rsidRPr="00775CAB">
              <w:rPr>
                <w:rFonts w:ascii="Tahoma" w:eastAsia="Tahoma" w:hAnsi="Tahoma" w:cs="Tahoma"/>
                <w:b/>
                <w:color w:val="7F7F7F" w:themeColor="text1" w:themeTint="80"/>
              </w:rPr>
              <w:t xml:space="preserve">Dariusza </w:t>
            </w:r>
            <w:proofErr w:type="spellStart"/>
            <w:r w:rsidRPr="00775CAB">
              <w:rPr>
                <w:rFonts w:ascii="Tahoma" w:eastAsia="Tahoma" w:hAnsi="Tahoma" w:cs="Tahoma"/>
                <w:b/>
                <w:color w:val="7F7F7F" w:themeColor="text1" w:themeTint="80"/>
              </w:rPr>
              <w:t>Blochera</w:t>
            </w:r>
            <w:proofErr w:type="spellEnd"/>
          </w:p>
          <w:p w14:paraId="392F89B6" w14:textId="28C91ABF" w:rsidR="00D51FBF" w:rsidRPr="00D51FBF" w:rsidRDefault="00775CAB" w:rsidP="00D51FBF">
            <w:pPr>
              <w:pBdr>
                <w:top w:val="nil"/>
                <w:left w:val="nil"/>
                <w:bottom w:val="nil"/>
                <w:right w:val="nil"/>
                <w:between w:val="nil"/>
              </w:pBdr>
              <w:spacing w:line="360" w:lineRule="auto"/>
              <w:jc w:val="center"/>
              <w:rPr>
                <w:rFonts w:ascii="Tahoma" w:eastAsia="Tahoma" w:hAnsi="Tahoma" w:cs="Tahoma"/>
                <w:b/>
                <w:color w:val="FFC000"/>
              </w:rPr>
            </w:pPr>
            <w:r w:rsidRPr="00D51FBF">
              <w:rPr>
                <w:rFonts w:ascii="Tahoma" w:eastAsia="Tahoma" w:hAnsi="Tahoma" w:cs="Tahoma"/>
                <w:b/>
                <w:color w:val="FFC000"/>
              </w:rPr>
              <w:t>do wybranych danych finansowych</w:t>
            </w:r>
          </w:p>
          <w:p w14:paraId="225222A0" w14:textId="4613D220" w:rsidR="00D51FBF" w:rsidRPr="00D51FBF" w:rsidRDefault="00775CAB" w:rsidP="00D51FBF">
            <w:pPr>
              <w:pBdr>
                <w:top w:val="nil"/>
                <w:left w:val="nil"/>
                <w:bottom w:val="nil"/>
                <w:right w:val="nil"/>
                <w:between w:val="nil"/>
              </w:pBdr>
              <w:spacing w:line="360" w:lineRule="auto"/>
              <w:jc w:val="center"/>
              <w:rPr>
                <w:rFonts w:ascii="Tahoma" w:eastAsia="Tahoma" w:hAnsi="Tahoma" w:cs="Tahoma"/>
                <w:b/>
                <w:color w:val="FFC000"/>
              </w:rPr>
            </w:pPr>
            <w:r w:rsidRPr="00D51FBF">
              <w:rPr>
                <w:rFonts w:ascii="Tahoma" w:eastAsia="Tahoma" w:hAnsi="Tahoma" w:cs="Tahoma"/>
                <w:b/>
                <w:color w:val="FFC000"/>
              </w:rPr>
              <w:t>ze skonsolidowanego sprawozdania finansowego</w:t>
            </w:r>
          </w:p>
          <w:p w14:paraId="130048CD" w14:textId="6FC2E182" w:rsidR="00D609D1" w:rsidRPr="00D51FBF" w:rsidRDefault="00775CAB" w:rsidP="00D51FBF">
            <w:pPr>
              <w:pBdr>
                <w:top w:val="nil"/>
                <w:left w:val="nil"/>
                <w:bottom w:val="nil"/>
                <w:right w:val="nil"/>
                <w:between w:val="nil"/>
              </w:pBdr>
              <w:spacing w:line="360" w:lineRule="auto"/>
              <w:jc w:val="center"/>
              <w:rPr>
                <w:rFonts w:ascii="Tahoma" w:eastAsia="Tahoma" w:hAnsi="Tahoma" w:cs="Tahoma"/>
                <w:b/>
                <w:color w:val="FFC000"/>
              </w:rPr>
            </w:pPr>
            <w:r w:rsidRPr="00D51FBF">
              <w:rPr>
                <w:rFonts w:ascii="Tahoma" w:eastAsia="Tahoma" w:hAnsi="Tahoma" w:cs="Tahoma"/>
                <w:b/>
                <w:color w:val="FFC000"/>
              </w:rPr>
              <w:t>Grupy Budimex za rok 2020</w:t>
            </w:r>
          </w:p>
          <w:p w14:paraId="15912541" w14:textId="77777777" w:rsidR="00775CAB" w:rsidRPr="00775CAB" w:rsidRDefault="00775CAB" w:rsidP="00D609D1">
            <w:pPr>
              <w:pBdr>
                <w:top w:val="nil"/>
                <w:left w:val="nil"/>
                <w:bottom w:val="nil"/>
                <w:right w:val="nil"/>
                <w:between w:val="nil"/>
              </w:pBdr>
              <w:spacing w:line="360" w:lineRule="auto"/>
              <w:jc w:val="both"/>
              <w:rPr>
                <w:rFonts w:ascii="Tahoma" w:eastAsia="Tahoma" w:hAnsi="Tahoma" w:cs="Tahoma"/>
                <w:bCs/>
                <w:sz w:val="18"/>
                <w:szCs w:val="18"/>
              </w:rPr>
            </w:pPr>
          </w:p>
          <w:p w14:paraId="11EC882F" w14:textId="7639D93B" w:rsidR="00775CAB" w:rsidRPr="00775CAB" w:rsidRDefault="00775CAB" w:rsidP="00775CAB">
            <w:pPr>
              <w:numPr>
                <w:ilvl w:val="0"/>
                <w:numId w:val="5"/>
              </w:numPr>
              <w:pBdr>
                <w:top w:val="nil"/>
                <w:left w:val="nil"/>
                <w:bottom w:val="nil"/>
                <w:right w:val="nil"/>
                <w:between w:val="nil"/>
              </w:pBdr>
              <w:spacing w:line="360" w:lineRule="auto"/>
              <w:rPr>
                <w:rFonts w:ascii="Tahoma" w:eastAsia="Tahoma" w:hAnsi="Tahoma" w:cs="Tahoma"/>
                <w:bCs/>
                <w:iCs/>
                <w:color w:val="808080"/>
                <w:sz w:val="18"/>
                <w:szCs w:val="18"/>
              </w:rPr>
            </w:pPr>
            <w:r w:rsidRPr="00775CAB">
              <w:rPr>
                <w:rFonts w:ascii="Tahoma" w:eastAsia="Tahoma" w:hAnsi="Tahoma" w:cs="Tahoma"/>
                <w:bCs/>
                <w:iCs/>
                <w:color w:val="808080"/>
                <w:sz w:val="18"/>
                <w:szCs w:val="18"/>
              </w:rPr>
              <w:t>W 2020 roku Grupa Budimex odnotowała rekordowe przychody ze sprzedaży na poziomie 8 382 milionów złotych (+8% r/r*)</w:t>
            </w:r>
            <w:r w:rsidR="00B50CA0">
              <w:rPr>
                <w:rFonts w:ascii="Tahoma" w:eastAsia="Tahoma" w:hAnsi="Tahoma" w:cs="Tahoma"/>
                <w:bCs/>
                <w:iCs/>
                <w:color w:val="808080"/>
                <w:sz w:val="18"/>
                <w:szCs w:val="18"/>
              </w:rPr>
              <w:t xml:space="preserve"> i wypracowała zysk netto w wysokości 459 m</w:t>
            </w:r>
            <w:r w:rsidR="00B11EAE">
              <w:rPr>
                <w:rFonts w:ascii="Tahoma" w:eastAsia="Tahoma" w:hAnsi="Tahoma" w:cs="Tahoma"/>
                <w:bCs/>
                <w:iCs/>
                <w:color w:val="808080"/>
                <w:sz w:val="18"/>
                <w:szCs w:val="18"/>
              </w:rPr>
              <w:t>ilionów</w:t>
            </w:r>
            <w:r w:rsidR="00B50CA0">
              <w:rPr>
                <w:rFonts w:ascii="Tahoma" w:eastAsia="Tahoma" w:hAnsi="Tahoma" w:cs="Tahoma"/>
                <w:bCs/>
                <w:iCs/>
                <w:color w:val="808080"/>
                <w:sz w:val="18"/>
                <w:szCs w:val="18"/>
              </w:rPr>
              <w:t xml:space="preserve"> zł</w:t>
            </w:r>
            <w:r w:rsidR="00B11EAE">
              <w:rPr>
                <w:rFonts w:ascii="Tahoma" w:eastAsia="Tahoma" w:hAnsi="Tahoma" w:cs="Tahoma"/>
                <w:bCs/>
                <w:iCs/>
                <w:color w:val="808080"/>
                <w:sz w:val="18"/>
                <w:szCs w:val="18"/>
              </w:rPr>
              <w:t>otych</w:t>
            </w:r>
          </w:p>
          <w:p w14:paraId="3A312C2C" w14:textId="71E1C5FF" w:rsidR="00775CAB" w:rsidRPr="00775CAB" w:rsidRDefault="00775CAB" w:rsidP="00775CAB">
            <w:pPr>
              <w:numPr>
                <w:ilvl w:val="0"/>
                <w:numId w:val="5"/>
              </w:numPr>
              <w:pBdr>
                <w:top w:val="nil"/>
                <w:left w:val="nil"/>
                <w:bottom w:val="nil"/>
                <w:right w:val="nil"/>
                <w:between w:val="nil"/>
              </w:pBdr>
              <w:spacing w:line="360" w:lineRule="auto"/>
              <w:rPr>
                <w:rFonts w:ascii="Tahoma" w:eastAsia="Tahoma" w:hAnsi="Tahoma" w:cs="Tahoma"/>
                <w:bCs/>
                <w:iCs/>
                <w:color w:val="808080"/>
                <w:sz w:val="18"/>
                <w:szCs w:val="18"/>
              </w:rPr>
            </w:pPr>
            <w:r w:rsidRPr="00775CAB">
              <w:rPr>
                <w:rFonts w:ascii="Tahoma" w:eastAsia="Tahoma" w:hAnsi="Tahoma" w:cs="Tahoma"/>
                <w:bCs/>
                <w:iCs/>
                <w:color w:val="808080"/>
                <w:sz w:val="18"/>
                <w:szCs w:val="18"/>
              </w:rPr>
              <w:t>Rentowność operacyjna Grupy uległa istotnej poprawie i osiągnęła poziom 7,6% (w porównaniu do 4,4%* w roku 2019)</w:t>
            </w:r>
            <w:r w:rsidR="00DD7855">
              <w:rPr>
                <w:rFonts w:ascii="Tahoma" w:eastAsia="Tahoma" w:hAnsi="Tahoma" w:cs="Tahoma"/>
                <w:bCs/>
                <w:iCs/>
                <w:color w:val="808080"/>
                <w:sz w:val="18"/>
                <w:szCs w:val="18"/>
              </w:rPr>
              <w:t xml:space="preserve">, </w:t>
            </w:r>
            <w:r w:rsidR="000B7985">
              <w:rPr>
                <w:rFonts w:ascii="Tahoma" w:eastAsia="Tahoma" w:hAnsi="Tahoma" w:cs="Tahoma"/>
                <w:bCs/>
                <w:iCs/>
                <w:color w:val="808080"/>
                <w:sz w:val="18"/>
                <w:szCs w:val="18"/>
              </w:rPr>
              <w:t>przy rentowności segmentu budowlanego</w:t>
            </w:r>
            <w:r w:rsidR="00DD7855">
              <w:rPr>
                <w:rFonts w:ascii="Tahoma" w:eastAsia="Tahoma" w:hAnsi="Tahoma" w:cs="Tahoma"/>
                <w:bCs/>
                <w:iCs/>
                <w:color w:val="808080"/>
                <w:sz w:val="18"/>
                <w:szCs w:val="18"/>
              </w:rPr>
              <w:t xml:space="preserve"> 5,</w:t>
            </w:r>
            <w:r w:rsidR="00BF1497">
              <w:rPr>
                <w:rFonts w:ascii="Tahoma" w:eastAsia="Tahoma" w:hAnsi="Tahoma" w:cs="Tahoma"/>
                <w:bCs/>
                <w:iCs/>
                <w:color w:val="808080"/>
                <w:sz w:val="18"/>
                <w:szCs w:val="18"/>
              </w:rPr>
              <w:t>1</w:t>
            </w:r>
            <w:r w:rsidR="00DD7855">
              <w:rPr>
                <w:rFonts w:ascii="Tahoma" w:eastAsia="Tahoma" w:hAnsi="Tahoma" w:cs="Tahoma"/>
                <w:bCs/>
                <w:iCs/>
                <w:color w:val="808080"/>
                <w:sz w:val="18"/>
                <w:szCs w:val="18"/>
              </w:rPr>
              <w:t>%</w:t>
            </w:r>
          </w:p>
          <w:p w14:paraId="0B785733" w14:textId="55381F2B" w:rsidR="00775CAB" w:rsidRPr="00775CAB" w:rsidRDefault="00AD1A09" w:rsidP="00775CAB">
            <w:pPr>
              <w:numPr>
                <w:ilvl w:val="0"/>
                <w:numId w:val="5"/>
              </w:numPr>
              <w:pBdr>
                <w:top w:val="nil"/>
                <w:left w:val="nil"/>
                <w:bottom w:val="nil"/>
                <w:right w:val="nil"/>
                <w:between w:val="nil"/>
              </w:pBdr>
              <w:spacing w:line="360" w:lineRule="auto"/>
              <w:rPr>
                <w:rFonts w:ascii="Tahoma" w:eastAsia="Tahoma" w:hAnsi="Tahoma" w:cs="Tahoma"/>
                <w:bCs/>
                <w:iCs/>
                <w:color w:val="808080"/>
                <w:sz w:val="18"/>
                <w:szCs w:val="18"/>
              </w:rPr>
            </w:pPr>
            <w:r>
              <w:rPr>
                <w:rFonts w:ascii="Tahoma" w:eastAsia="Tahoma" w:hAnsi="Tahoma" w:cs="Tahoma"/>
                <w:bCs/>
                <w:iCs/>
                <w:color w:val="808080"/>
                <w:sz w:val="18"/>
                <w:szCs w:val="18"/>
              </w:rPr>
              <w:t>Wysoka</w:t>
            </w:r>
            <w:r w:rsidRPr="00775CAB">
              <w:rPr>
                <w:rFonts w:ascii="Tahoma" w:eastAsia="Tahoma" w:hAnsi="Tahoma" w:cs="Tahoma"/>
                <w:bCs/>
                <w:iCs/>
                <w:color w:val="808080"/>
                <w:sz w:val="18"/>
                <w:szCs w:val="18"/>
              </w:rPr>
              <w:t xml:space="preserve"> </w:t>
            </w:r>
            <w:r w:rsidR="00775CAB" w:rsidRPr="00775CAB">
              <w:rPr>
                <w:rFonts w:ascii="Tahoma" w:eastAsia="Tahoma" w:hAnsi="Tahoma" w:cs="Tahoma"/>
                <w:bCs/>
                <w:iCs/>
                <w:color w:val="808080"/>
                <w:sz w:val="18"/>
                <w:szCs w:val="18"/>
              </w:rPr>
              <w:t xml:space="preserve">kontraktacja (9 miliardów złotych) pozwoliła </w:t>
            </w:r>
            <w:r w:rsidR="00C84E31">
              <w:rPr>
                <w:rFonts w:ascii="Tahoma" w:eastAsia="Tahoma" w:hAnsi="Tahoma" w:cs="Tahoma"/>
                <w:bCs/>
                <w:iCs/>
                <w:color w:val="808080"/>
                <w:sz w:val="18"/>
                <w:szCs w:val="18"/>
              </w:rPr>
              <w:t>zwiększyć</w:t>
            </w:r>
            <w:r w:rsidR="00C84E31" w:rsidRPr="00775CAB">
              <w:rPr>
                <w:rFonts w:ascii="Tahoma" w:eastAsia="Tahoma" w:hAnsi="Tahoma" w:cs="Tahoma"/>
                <w:bCs/>
                <w:iCs/>
                <w:color w:val="808080"/>
                <w:sz w:val="18"/>
                <w:szCs w:val="18"/>
              </w:rPr>
              <w:t xml:space="preserve"> </w:t>
            </w:r>
            <w:r w:rsidR="00775CAB" w:rsidRPr="00775CAB">
              <w:rPr>
                <w:rFonts w:ascii="Tahoma" w:eastAsia="Tahoma" w:hAnsi="Tahoma" w:cs="Tahoma"/>
                <w:bCs/>
                <w:iCs/>
                <w:color w:val="808080"/>
                <w:sz w:val="18"/>
                <w:szCs w:val="18"/>
              </w:rPr>
              <w:t xml:space="preserve">portfel zamówień </w:t>
            </w:r>
            <w:r w:rsidR="00C84E31">
              <w:rPr>
                <w:rFonts w:ascii="Tahoma" w:eastAsia="Tahoma" w:hAnsi="Tahoma" w:cs="Tahoma"/>
                <w:bCs/>
                <w:iCs/>
                <w:color w:val="808080"/>
                <w:sz w:val="18"/>
                <w:szCs w:val="18"/>
              </w:rPr>
              <w:t>do poziomu</w:t>
            </w:r>
            <w:r w:rsidR="00775CAB" w:rsidRPr="00775CAB">
              <w:rPr>
                <w:rFonts w:ascii="Tahoma" w:eastAsia="Tahoma" w:hAnsi="Tahoma" w:cs="Tahoma"/>
                <w:bCs/>
                <w:iCs/>
                <w:color w:val="808080"/>
                <w:sz w:val="18"/>
                <w:szCs w:val="18"/>
              </w:rPr>
              <w:t xml:space="preserve"> 12,7 miliarda złotych (+18% r/r)</w:t>
            </w:r>
          </w:p>
          <w:p w14:paraId="22B5F062" w14:textId="76675F3D" w:rsidR="00775CAB" w:rsidRDefault="00AD1A09" w:rsidP="00775CAB">
            <w:pPr>
              <w:numPr>
                <w:ilvl w:val="0"/>
                <w:numId w:val="5"/>
              </w:numPr>
              <w:pBdr>
                <w:top w:val="nil"/>
                <w:left w:val="nil"/>
                <w:bottom w:val="nil"/>
                <w:right w:val="nil"/>
                <w:between w:val="nil"/>
              </w:pBdr>
              <w:spacing w:line="360" w:lineRule="auto"/>
              <w:rPr>
                <w:rFonts w:ascii="Tahoma" w:eastAsia="Tahoma" w:hAnsi="Tahoma" w:cs="Tahoma"/>
                <w:bCs/>
                <w:iCs/>
                <w:color w:val="808080"/>
                <w:sz w:val="18"/>
                <w:szCs w:val="18"/>
              </w:rPr>
            </w:pPr>
            <w:r>
              <w:rPr>
                <w:rFonts w:ascii="Tahoma" w:eastAsia="Tahoma" w:hAnsi="Tahoma" w:cs="Tahoma"/>
                <w:bCs/>
                <w:iCs/>
                <w:color w:val="808080"/>
                <w:sz w:val="18"/>
                <w:szCs w:val="18"/>
              </w:rPr>
              <w:t xml:space="preserve">Stabilna </w:t>
            </w:r>
            <w:r w:rsidR="00775CAB" w:rsidRPr="00775CAB">
              <w:rPr>
                <w:rFonts w:ascii="Tahoma" w:eastAsia="Tahoma" w:hAnsi="Tahoma" w:cs="Tahoma"/>
                <w:bCs/>
                <w:iCs/>
                <w:color w:val="808080"/>
                <w:sz w:val="18"/>
                <w:szCs w:val="18"/>
              </w:rPr>
              <w:t xml:space="preserve">pozycja gotówkowa netto  (2,1 miliarda złotych, +57% r/r) zapewnia komfort operacyjny oraz szerokie możliwości inwestycyjne </w:t>
            </w:r>
          </w:p>
          <w:p w14:paraId="76BD9AEC" w14:textId="02AA5282" w:rsidR="008C2D2B" w:rsidRPr="00775CAB" w:rsidRDefault="008C2D2B" w:rsidP="00775CAB">
            <w:pPr>
              <w:numPr>
                <w:ilvl w:val="0"/>
                <w:numId w:val="5"/>
              </w:numPr>
              <w:pBdr>
                <w:top w:val="nil"/>
                <w:left w:val="nil"/>
                <w:bottom w:val="nil"/>
                <w:right w:val="nil"/>
                <w:between w:val="nil"/>
              </w:pBdr>
              <w:spacing w:line="360" w:lineRule="auto"/>
              <w:rPr>
                <w:rFonts w:ascii="Tahoma" w:eastAsia="Tahoma" w:hAnsi="Tahoma" w:cs="Tahoma"/>
                <w:bCs/>
                <w:iCs/>
                <w:color w:val="808080"/>
                <w:sz w:val="18"/>
                <w:szCs w:val="18"/>
              </w:rPr>
            </w:pPr>
            <w:r>
              <w:rPr>
                <w:rFonts w:ascii="Tahoma" w:eastAsia="Tahoma" w:hAnsi="Tahoma" w:cs="Tahoma"/>
                <w:bCs/>
                <w:iCs/>
                <w:color w:val="808080"/>
                <w:sz w:val="18"/>
                <w:szCs w:val="18"/>
              </w:rPr>
              <w:t>Zysk netto Budimex SA w 2020 roku wyniósł 310</w:t>
            </w:r>
            <w:r w:rsidR="00B11EAE">
              <w:rPr>
                <w:rFonts w:ascii="Tahoma" w:eastAsia="Tahoma" w:hAnsi="Tahoma" w:cs="Tahoma"/>
                <w:bCs/>
                <w:iCs/>
                <w:color w:val="808080"/>
                <w:sz w:val="18"/>
                <w:szCs w:val="18"/>
              </w:rPr>
              <w:t>,5</w:t>
            </w:r>
            <w:r>
              <w:rPr>
                <w:rFonts w:ascii="Tahoma" w:eastAsia="Tahoma" w:hAnsi="Tahoma" w:cs="Tahoma"/>
                <w:bCs/>
                <w:iCs/>
                <w:color w:val="808080"/>
                <w:sz w:val="18"/>
                <w:szCs w:val="18"/>
              </w:rPr>
              <w:t xml:space="preserve"> milion</w:t>
            </w:r>
            <w:r w:rsidR="00B11EAE">
              <w:rPr>
                <w:rFonts w:ascii="Tahoma" w:eastAsia="Tahoma" w:hAnsi="Tahoma" w:cs="Tahoma"/>
                <w:bCs/>
                <w:iCs/>
                <w:color w:val="808080"/>
                <w:sz w:val="18"/>
                <w:szCs w:val="18"/>
              </w:rPr>
              <w:t>a</w:t>
            </w:r>
            <w:r>
              <w:rPr>
                <w:rFonts w:ascii="Tahoma" w:eastAsia="Tahoma" w:hAnsi="Tahoma" w:cs="Tahoma"/>
                <w:bCs/>
                <w:iCs/>
                <w:color w:val="808080"/>
                <w:sz w:val="18"/>
                <w:szCs w:val="18"/>
              </w:rPr>
              <w:t xml:space="preserve"> złotych</w:t>
            </w:r>
          </w:p>
          <w:p w14:paraId="3C9D00EF" w14:textId="77777777" w:rsidR="00C32C83" w:rsidRPr="00775CAB" w:rsidRDefault="00C32C83">
            <w:pPr>
              <w:spacing w:line="360" w:lineRule="auto"/>
              <w:jc w:val="both"/>
              <w:rPr>
                <w:rFonts w:ascii="Tahoma" w:eastAsia="Tahoma" w:hAnsi="Tahoma" w:cs="Tahoma"/>
                <w:bCs/>
                <w:color w:val="747678"/>
                <w:sz w:val="18"/>
                <w:szCs w:val="18"/>
              </w:rPr>
            </w:pPr>
          </w:p>
          <w:p w14:paraId="799135F6" w14:textId="474FD24E" w:rsidR="00DD7855" w:rsidRDefault="00775CAB" w:rsidP="00DD7855">
            <w:pPr>
              <w:spacing w:line="360" w:lineRule="auto"/>
              <w:jc w:val="both"/>
              <w:rPr>
                <w:rFonts w:ascii="Tahoma" w:eastAsia="Tahoma" w:hAnsi="Tahoma" w:cs="Tahoma"/>
                <w:bCs/>
                <w:color w:val="808080"/>
                <w:sz w:val="18"/>
                <w:szCs w:val="18"/>
              </w:rPr>
            </w:pPr>
            <w:r w:rsidRPr="0026041E">
              <w:rPr>
                <w:rFonts w:ascii="Tahoma" w:eastAsia="Tahoma" w:hAnsi="Tahoma" w:cs="Tahoma"/>
                <w:b/>
                <w:color w:val="808080"/>
                <w:sz w:val="18"/>
                <w:szCs w:val="18"/>
              </w:rPr>
              <w:t>Rok 2020 był pod wieloma względami rekordowy dla Grupy Budimex.</w:t>
            </w:r>
            <w:r w:rsidRPr="00775CAB">
              <w:rPr>
                <w:rFonts w:ascii="Tahoma" w:eastAsia="Tahoma" w:hAnsi="Tahoma" w:cs="Tahoma"/>
                <w:bCs/>
                <w:color w:val="808080"/>
                <w:sz w:val="18"/>
                <w:szCs w:val="18"/>
              </w:rPr>
              <w:t xml:space="preserve"> Pomimo trudności związanych z wprowadzonym w marcu stanem epidemii po raz pierwszy w historii Grupy przekroczyliśmy poziom 8 miliardów złotych przychodów ze sprzedaży przy jednoczesnej poprawie rentowności. Pozwoliło to ponownie zająć pierwsze miejsce wśród największych firm budowlanych w Polsce. Podpisaliśmy nowe kontrakty o wartości 9 miliardów złotych i wchodzimy w rok 2021 z portfelem zamówień niemal 13 miliardów złotych. </w:t>
            </w:r>
          </w:p>
          <w:p w14:paraId="508D416C" w14:textId="7936C6E6" w:rsidR="007873D5" w:rsidRDefault="007873D5" w:rsidP="00775CAB">
            <w:pPr>
              <w:spacing w:line="360" w:lineRule="auto"/>
              <w:jc w:val="both"/>
              <w:rPr>
                <w:rFonts w:ascii="Tahoma" w:eastAsia="Tahoma" w:hAnsi="Tahoma" w:cs="Tahoma"/>
                <w:bCs/>
                <w:color w:val="808080"/>
                <w:sz w:val="18"/>
                <w:szCs w:val="18"/>
              </w:rPr>
            </w:pPr>
            <w:r w:rsidRPr="00B11EAE">
              <w:rPr>
                <w:rFonts w:ascii="Tahoma" w:eastAsia="Tahoma" w:hAnsi="Tahoma" w:cs="Tahoma"/>
                <w:bCs/>
                <w:noProof/>
                <w:color w:val="808080"/>
                <w:sz w:val="18"/>
                <w:szCs w:val="18"/>
              </w:rPr>
              <w:lastRenderedPageBreak/>
              <w:drawing>
                <wp:anchor distT="0" distB="0" distL="114300" distR="114300" simplePos="0" relativeHeight="251701248" behindDoc="1" locked="1" layoutInCell="1" allowOverlap="1" wp14:anchorId="12F04439" wp14:editId="00BF99C1">
                  <wp:simplePos x="0" y="0"/>
                  <wp:positionH relativeFrom="column">
                    <wp:posOffset>0</wp:posOffset>
                  </wp:positionH>
                  <wp:positionV relativeFrom="page">
                    <wp:posOffset>224155</wp:posOffset>
                  </wp:positionV>
                  <wp:extent cx="4219575" cy="3046095"/>
                  <wp:effectExtent l="0" t="0" r="9525" b="1905"/>
                  <wp:wrapTight wrapText="bothSides">
                    <wp:wrapPolygon edited="0">
                      <wp:start x="0" y="0"/>
                      <wp:lineTo x="0" y="21478"/>
                      <wp:lineTo x="21551" y="21478"/>
                      <wp:lineTo x="2155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3046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2BAB0" w14:textId="7517DDAF" w:rsidR="0026041E" w:rsidRPr="00775CAB" w:rsidRDefault="0026041E" w:rsidP="0026041E">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Szacujemy, że łączny wpływ pandemii na wynik operacyjny Grupy to nieco ponad 30 milionów złotych i dotyczy głównie dodatkowych kosztów związanych z wydłużeniem</w:t>
            </w:r>
            <w:r w:rsidR="007873D5">
              <w:rPr>
                <w:rFonts w:ascii="Tahoma" w:eastAsia="Tahoma" w:hAnsi="Tahoma" w:cs="Tahoma"/>
                <w:bCs/>
                <w:color w:val="808080"/>
                <w:sz w:val="18"/>
                <w:szCs w:val="18"/>
              </w:rPr>
              <w:t xml:space="preserve"> cz</w:t>
            </w:r>
            <w:r w:rsidRPr="00775CAB">
              <w:rPr>
                <w:rFonts w:ascii="Tahoma" w:eastAsia="Tahoma" w:hAnsi="Tahoma" w:cs="Tahoma"/>
                <w:bCs/>
                <w:color w:val="808080"/>
                <w:sz w:val="18"/>
                <w:szCs w:val="18"/>
              </w:rPr>
              <w:t>asu realizacji kilku kontraktów</w:t>
            </w:r>
            <w:r>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a także kosztu zakupów środków ochrony osobistej </w:t>
            </w:r>
            <w:r w:rsidR="00C84E31">
              <w:rPr>
                <w:rFonts w:ascii="Tahoma" w:eastAsia="Tahoma" w:hAnsi="Tahoma" w:cs="Tahoma"/>
                <w:bCs/>
                <w:color w:val="808080"/>
                <w:sz w:val="18"/>
                <w:szCs w:val="18"/>
              </w:rPr>
              <w:br/>
            </w:r>
            <w:r w:rsidRPr="00775CAB">
              <w:rPr>
                <w:rFonts w:ascii="Tahoma" w:eastAsia="Tahoma" w:hAnsi="Tahoma" w:cs="Tahoma"/>
                <w:bCs/>
                <w:color w:val="808080"/>
                <w:sz w:val="18"/>
                <w:szCs w:val="18"/>
              </w:rPr>
              <w:t>i testowania</w:t>
            </w:r>
            <w:r>
              <w:rPr>
                <w:rFonts w:ascii="Tahoma" w:eastAsia="Tahoma" w:hAnsi="Tahoma" w:cs="Tahoma"/>
                <w:bCs/>
                <w:color w:val="808080"/>
                <w:sz w:val="18"/>
                <w:szCs w:val="18"/>
              </w:rPr>
              <w:t xml:space="preserve"> pracowników</w:t>
            </w:r>
            <w:r w:rsidRPr="00775CAB">
              <w:rPr>
                <w:rFonts w:ascii="Tahoma" w:eastAsia="Tahoma" w:hAnsi="Tahoma" w:cs="Tahoma"/>
                <w:bCs/>
                <w:color w:val="808080"/>
                <w:sz w:val="18"/>
                <w:szCs w:val="18"/>
              </w:rPr>
              <w:t xml:space="preserve">. W całej Grupie odnotowaliśmy około 400 przypadków zakażenia, a w szczytowym momencie na początku </w:t>
            </w:r>
            <w:r w:rsidR="00DD7855">
              <w:rPr>
                <w:rFonts w:ascii="Tahoma" w:eastAsia="Tahoma" w:hAnsi="Tahoma" w:cs="Tahoma"/>
                <w:bCs/>
                <w:color w:val="808080"/>
                <w:sz w:val="18"/>
                <w:szCs w:val="18"/>
              </w:rPr>
              <w:t>IV kwartału</w:t>
            </w:r>
            <w:r w:rsidRPr="00775CAB">
              <w:rPr>
                <w:rFonts w:ascii="Tahoma" w:eastAsia="Tahoma" w:hAnsi="Tahoma" w:cs="Tahoma"/>
                <w:bCs/>
                <w:color w:val="808080"/>
                <w:sz w:val="18"/>
                <w:szCs w:val="18"/>
              </w:rPr>
              <w:t xml:space="preserve"> mieliśmy około 190 aktywnych zakażeń. </w:t>
            </w:r>
            <w:r w:rsidR="00DD7855">
              <w:rPr>
                <w:rFonts w:ascii="Tahoma" w:eastAsia="Tahoma" w:hAnsi="Tahoma" w:cs="Tahoma"/>
                <w:bCs/>
                <w:color w:val="808080"/>
                <w:sz w:val="18"/>
                <w:szCs w:val="18"/>
              </w:rPr>
              <w:t xml:space="preserve">Nie </w:t>
            </w:r>
            <w:r w:rsidRPr="00775CAB">
              <w:rPr>
                <w:rFonts w:ascii="Tahoma" w:eastAsia="Tahoma" w:hAnsi="Tahoma" w:cs="Tahoma"/>
                <w:bCs/>
                <w:color w:val="808080"/>
                <w:sz w:val="18"/>
                <w:szCs w:val="18"/>
              </w:rPr>
              <w:t>zatrzymaliśmy żadnej z budów</w:t>
            </w:r>
            <w:r>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a zdecydowana większość naszych projektów realizowana jest zgodnie z harmonogramem. Tam, gdzie pandemia opóźniła nasze prace, Inwestorzy podchodzą ze zrozumieniem do propozycji aneksów terminowych, co w wpisuje się w ogólną bardzo dobrą współpracę z Zamawiającymi</w:t>
            </w:r>
            <w:r w:rsidR="00DD7855">
              <w:rPr>
                <w:rFonts w:ascii="Tahoma" w:eastAsia="Tahoma" w:hAnsi="Tahoma" w:cs="Tahoma"/>
                <w:bCs/>
                <w:color w:val="808080"/>
                <w:sz w:val="18"/>
                <w:szCs w:val="18"/>
              </w:rPr>
              <w:t>, szczególnie z Generalną Dyrekcją Dróg Krajowych i Autostrad oraz PKP Polskie Linie Kolejowe</w:t>
            </w:r>
            <w:r w:rsidR="005F7CFF">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w tym wymagającym czasie. </w:t>
            </w:r>
          </w:p>
          <w:p w14:paraId="1CBBAA9D" w14:textId="2FA0840D" w:rsidR="00D51FBF" w:rsidRDefault="005E1F43" w:rsidP="00775CAB">
            <w:pPr>
              <w:spacing w:line="360" w:lineRule="auto"/>
              <w:jc w:val="both"/>
              <w:rPr>
                <w:rFonts w:ascii="Tahoma" w:eastAsia="Tahoma" w:hAnsi="Tahoma" w:cs="Tahoma"/>
                <w:bCs/>
                <w:color w:val="808080"/>
                <w:sz w:val="18"/>
                <w:szCs w:val="18"/>
              </w:rPr>
            </w:pPr>
            <w:r w:rsidRPr="00CB1F65">
              <w:rPr>
                <w:noProof/>
              </w:rPr>
              <w:drawing>
                <wp:anchor distT="0" distB="0" distL="114300" distR="114300" simplePos="0" relativeHeight="251693056" behindDoc="1" locked="0" layoutInCell="1" allowOverlap="1" wp14:anchorId="359C83E6" wp14:editId="781D9CC9">
                  <wp:simplePos x="0" y="0"/>
                  <wp:positionH relativeFrom="margin">
                    <wp:posOffset>-9525</wp:posOffset>
                  </wp:positionH>
                  <wp:positionV relativeFrom="paragraph">
                    <wp:posOffset>187325</wp:posOffset>
                  </wp:positionV>
                  <wp:extent cx="4248150" cy="2654300"/>
                  <wp:effectExtent l="0" t="0" r="0" b="0"/>
                  <wp:wrapTight wrapText="bothSides">
                    <wp:wrapPolygon edited="0">
                      <wp:start x="0" y="0"/>
                      <wp:lineTo x="0" y="21393"/>
                      <wp:lineTo x="21503" y="21393"/>
                      <wp:lineTo x="21503"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DFE2B" w14:textId="7223A93C" w:rsidR="00775CAB" w:rsidRDefault="005E1F43" w:rsidP="00775CAB">
            <w:pPr>
              <w:spacing w:line="360" w:lineRule="auto"/>
              <w:jc w:val="both"/>
              <w:rPr>
                <w:rFonts w:ascii="Tahoma" w:eastAsia="Tahoma" w:hAnsi="Tahoma" w:cs="Tahoma"/>
                <w:bCs/>
                <w:color w:val="808080"/>
                <w:sz w:val="18"/>
                <w:szCs w:val="18"/>
              </w:rPr>
            </w:pPr>
            <w:r w:rsidRPr="00775CAB">
              <w:rPr>
                <w:rFonts w:ascii="Tahoma" w:eastAsia="Tahoma" w:hAnsi="Tahoma" w:cs="Tahoma"/>
                <w:bCs/>
                <w:noProof/>
                <w:color w:val="808080"/>
                <w:sz w:val="18"/>
                <w:szCs w:val="18"/>
              </w:rPr>
              <w:lastRenderedPageBreak/>
              <w:drawing>
                <wp:anchor distT="0" distB="0" distL="114300" distR="114300" simplePos="0" relativeHeight="251676672" behindDoc="1" locked="0" layoutInCell="1" allowOverlap="1" wp14:anchorId="2B7F8653" wp14:editId="50F15341">
                  <wp:simplePos x="0" y="0"/>
                  <wp:positionH relativeFrom="margin">
                    <wp:posOffset>-10160</wp:posOffset>
                  </wp:positionH>
                  <wp:positionV relativeFrom="paragraph">
                    <wp:posOffset>2338705</wp:posOffset>
                  </wp:positionV>
                  <wp:extent cx="4352925" cy="2778125"/>
                  <wp:effectExtent l="0" t="0" r="9525" b="3175"/>
                  <wp:wrapTight wrapText="bothSides">
                    <wp:wrapPolygon edited="0">
                      <wp:start x="0" y="0"/>
                      <wp:lineTo x="0" y="21477"/>
                      <wp:lineTo x="21553" y="21477"/>
                      <wp:lineTo x="21553" y="0"/>
                      <wp:lineTo x="0"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277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CAB" w:rsidRPr="0026041E">
              <w:rPr>
                <w:rFonts w:ascii="Tahoma" w:eastAsia="Tahoma" w:hAnsi="Tahoma" w:cs="Tahoma"/>
                <w:b/>
                <w:color w:val="808080"/>
                <w:sz w:val="18"/>
                <w:szCs w:val="18"/>
              </w:rPr>
              <w:t xml:space="preserve">W 2020 roku produkcja budowlano-montażowa </w:t>
            </w:r>
            <w:r w:rsidR="00775CAB" w:rsidRPr="000B7985">
              <w:rPr>
                <w:rFonts w:ascii="Tahoma" w:eastAsia="Tahoma" w:hAnsi="Tahoma" w:cs="Tahoma"/>
                <w:color w:val="808080"/>
                <w:sz w:val="18"/>
                <w:szCs w:val="18"/>
              </w:rPr>
              <w:t>(w cenach bieżących)</w:t>
            </w:r>
            <w:r w:rsidR="00775CAB" w:rsidRPr="0026041E">
              <w:rPr>
                <w:rFonts w:ascii="Tahoma" w:eastAsia="Tahoma" w:hAnsi="Tahoma" w:cs="Tahoma"/>
                <w:b/>
                <w:color w:val="808080"/>
                <w:sz w:val="18"/>
                <w:szCs w:val="18"/>
              </w:rPr>
              <w:t xml:space="preserve"> wzrosła o 0,4%.</w:t>
            </w:r>
            <w:r w:rsidR="00775CAB" w:rsidRPr="00775CAB">
              <w:rPr>
                <w:rFonts w:ascii="Tahoma" w:eastAsia="Tahoma" w:hAnsi="Tahoma" w:cs="Tahoma"/>
                <w:bCs/>
                <w:color w:val="808080"/>
                <w:sz w:val="18"/>
                <w:szCs w:val="18"/>
              </w:rPr>
              <w:t xml:space="preserve"> W segmencie budynków produkcja skurczyła się o 0,5%, po raz pierwszy od 2016 roku. Co ważne, w przypadku budynków niemieszkalnych spadek był głębszy </w:t>
            </w:r>
            <w:r w:rsidR="002451CA">
              <w:rPr>
                <w:rFonts w:ascii="Tahoma" w:eastAsia="Tahoma" w:hAnsi="Tahoma" w:cs="Tahoma"/>
                <w:bCs/>
                <w:color w:val="808080"/>
                <w:sz w:val="18"/>
                <w:szCs w:val="18"/>
              </w:rPr>
              <w:br/>
            </w:r>
            <w:r w:rsidR="00775CAB" w:rsidRPr="00775CAB">
              <w:rPr>
                <w:rFonts w:ascii="Tahoma" w:eastAsia="Tahoma" w:hAnsi="Tahoma" w:cs="Tahoma"/>
                <w:bCs/>
                <w:color w:val="808080"/>
                <w:sz w:val="18"/>
                <w:szCs w:val="18"/>
              </w:rPr>
              <w:t xml:space="preserve">i wyniósł -4,2%, co prawdopodobnie wynikało z ograniczenia nowych przedsięwzięć </w:t>
            </w:r>
            <w:r w:rsidR="002451CA">
              <w:rPr>
                <w:rFonts w:ascii="Tahoma" w:eastAsia="Tahoma" w:hAnsi="Tahoma" w:cs="Tahoma"/>
                <w:bCs/>
                <w:color w:val="808080"/>
                <w:sz w:val="18"/>
                <w:szCs w:val="18"/>
              </w:rPr>
              <w:br/>
            </w:r>
            <w:r w:rsidR="00775CAB" w:rsidRPr="00775CAB">
              <w:rPr>
                <w:rFonts w:ascii="Tahoma" w:eastAsia="Tahoma" w:hAnsi="Tahoma" w:cs="Tahoma"/>
                <w:bCs/>
                <w:color w:val="808080"/>
                <w:sz w:val="18"/>
                <w:szCs w:val="18"/>
              </w:rPr>
              <w:t>w obliczu niepewnej sytuacji gospodarczej. Największy spadek, rzędu -17,6%, dotyczył budownictwa biurowego, gdzie niewykluczona jest długoterminowa strukturalna zmiana popytu. Zachowanie ciągłości prac na zdecydowanej większości projektów infrastrukturalnych zaowocowało wzrostem segmentu inżynieryjnego na poziomie 1,2% w porównaniu do roku 2019. Zwiększenie skali inwestycji prowadzonych przez PKP PLK i GDDKiA oraz wysoka jakość współpracy przełożyła się na wzrost produkcji</w:t>
            </w:r>
            <w:r w:rsidR="0026041E">
              <w:rPr>
                <w:rFonts w:ascii="Tahoma" w:eastAsia="Tahoma" w:hAnsi="Tahoma" w:cs="Tahoma"/>
                <w:bCs/>
                <w:color w:val="808080"/>
                <w:sz w:val="18"/>
                <w:szCs w:val="18"/>
              </w:rPr>
              <w:t xml:space="preserve"> </w:t>
            </w:r>
            <w:r w:rsidR="00775CAB" w:rsidRPr="00775CAB">
              <w:rPr>
                <w:rFonts w:ascii="Tahoma" w:eastAsia="Tahoma" w:hAnsi="Tahoma" w:cs="Tahoma"/>
                <w:bCs/>
                <w:color w:val="808080"/>
                <w:sz w:val="18"/>
                <w:szCs w:val="18"/>
              </w:rPr>
              <w:t>w obszarze kolejowym i drogowym odpowiednio o 8,2% i 2,6%.</w:t>
            </w:r>
          </w:p>
          <w:p w14:paraId="1B6D913E" w14:textId="154B2B77" w:rsidR="00712B2C" w:rsidRDefault="00712B2C" w:rsidP="00775CAB">
            <w:pPr>
              <w:spacing w:line="360" w:lineRule="auto"/>
              <w:jc w:val="both"/>
              <w:rPr>
                <w:rFonts w:ascii="Tahoma" w:eastAsia="Tahoma" w:hAnsi="Tahoma" w:cs="Tahoma"/>
                <w:bCs/>
                <w:color w:val="808080"/>
                <w:sz w:val="18"/>
                <w:szCs w:val="18"/>
              </w:rPr>
            </w:pPr>
          </w:p>
          <w:p w14:paraId="65933363" w14:textId="46345712" w:rsidR="00D51FBF" w:rsidRDefault="00775CAB" w:rsidP="00775CAB">
            <w:pPr>
              <w:spacing w:line="360" w:lineRule="auto"/>
              <w:jc w:val="both"/>
              <w:rPr>
                <w:rFonts w:ascii="Tahoma" w:eastAsia="Tahoma" w:hAnsi="Tahoma" w:cs="Tahoma"/>
                <w:bCs/>
                <w:color w:val="808080"/>
                <w:sz w:val="18"/>
                <w:szCs w:val="18"/>
              </w:rPr>
            </w:pPr>
            <w:r w:rsidRPr="0026041E">
              <w:rPr>
                <w:rFonts w:ascii="Tahoma" w:eastAsia="Tahoma" w:hAnsi="Tahoma" w:cs="Tahoma"/>
                <w:b/>
                <w:color w:val="808080"/>
                <w:sz w:val="18"/>
                <w:szCs w:val="18"/>
              </w:rPr>
              <w:t>Pomimo trudnego otoczenia sprzedaż segmentu budowlanego Grupy Budimex osiągnęła rekordowy poziom 7 539 milionów złotych</w:t>
            </w:r>
            <w:r w:rsidR="00DF6F79" w:rsidRPr="0026041E">
              <w:rPr>
                <w:rFonts w:ascii="Tahoma" w:eastAsia="Tahoma" w:hAnsi="Tahoma" w:cs="Tahoma"/>
                <w:b/>
                <w:color w:val="808080"/>
                <w:sz w:val="18"/>
                <w:szCs w:val="18"/>
              </w:rPr>
              <w:t>,</w:t>
            </w:r>
            <w:r w:rsidRPr="0026041E">
              <w:rPr>
                <w:rFonts w:ascii="Tahoma" w:eastAsia="Tahoma" w:hAnsi="Tahoma" w:cs="Tahoma"/>
                <w:b/>
                <w:color w:val="808080"/>
                <w:sz w:val="18"/>
                <w:szCs w:val="18"/>
              </w:rPr>
              <w:t xml:space="preserve"> notując wzrost o 5,4%.</w:t>
            </w:r>
            <w:r w:rsidRPr="00775CAB">
              <w:rPr>
                <w:rFonts w:ascii="Tahoma" w:eastAsia="Tahoma" w:hAnsi="Tahoma" w:cs="Tahoma"/>
                <w:bCs/>
                <w:color w:val="808080"/>
                <w:sz w:val="18"/>
                <w:szCs w:val="18"/>
              </w:rPr>
              <w:t xml:space="preserve"> Poprawie względem roku ubiegłego uległa również rentowność. Na poziomie zysku brutto osiągnęliśmy </w:t>
            </w:r>
            <w:r w:rsidR="00DF6F79">
              <w:rPr>
                <w:rFonts w:ascii="Tahoma" w:eastAsia="Tahoma" w:hAnsi="Tahoma" w:cs="Tahoma"/>
                <w:bCs/>
                <w:color w:val="808080"/>
                <w:sz w:val="18"/>
                <w:szCs w:val="18"/>
              </w:rPr>
              <w:t xml:space="preserve">wynik </w:t>
            </w:r>
            <w:r w:rsidRPr="00775CAB">
              <w:rPr>
                <w:rFonts w:ascii="Tahoma" w:eastAsia="Tahoma" w:hAnsi="Tahoma" w:cs="Tahoma"/>
                <w:bCs/>
                <w:color w:val="808080"/>
                <w:sz w:val="18"/>
                <w:szCs w:val="18"/>
              </w:rPr>
              <w:t xml:space="preserve">4,9% w porównaniu do 2,6% w roku ubiegłym. Po kilku latach, przy ogromnym zaangażowaniu całej organizacji, finalizujemy realizację trudnych projektów, które negatywnie wpływały na jakość portfela zamówień. Otoczenie pandemiczne i ogólna niepewność gospodarcza wpłynęła także na spadek utrzymującej się wysokiej presji na wzrost płac, cen usług podwykonawczych i materiałów – to pozwoliło na poprawę marży o 1-2 punkty procentowe. </w:t>
            </w:r>
          </w:p>
          <w:p w14:paraId="08121981" w14:textId="54EB143F" w:rsidR="00775CAB" w:rsidRPr="00775CAB" w:rsidRDefault="00775CAB" w:rsidP="00775CAB">
            <w:pPr>
              <w:spacing w:line="360" w:lineRule="auto"/>
              <w:jc w:val="both"/>
              <w:rPr>
                <w:rFonts w:ascii="Tahoma" w:eastAsia="Tahoma" w:hAnsi="Tahoma" w:cs="Tahoma"/>
                <w:bCs/>
                <w:color w:val="808080"/>
                <w:sz w:val="18"/>
                <w:szCs w:val="18"/>
              </w:rPr>
            </w:pPr>
          </w:p>
          <w:p w14:paraId="4B8DA788" w14:textId="553D90C7" w:rsidR="00775CAB" w:rsidRDefault="00775CAB" w:rsidP="00775CAB">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 xml:space="preserve">Pomimo niższej aktywności inwestorów w roku 2020, szczególnie zauważalnej </w:t>
            </w:r>
            <w:r w:rsidR="005F7CFF">
              <w:rPr>
                <w:rFonts w:ascii="Tahoma" w:eastAsia="Tahoma" w:hAnsi="Tahoma" w:cs="Tahoma"/>
                <w:bCs/>
                <w:color w:val="808080"/>
                <w:sz w:val="18"/>
                <w:szCs w:val="18"/>
              </w:rPr>
              <w:br/>
            </w:r>
            <w:r w:rsidRPr="00775CAB">
              <w:rPr>
                <w:rFonts w:ascii="Tahoma" w:eastAsia="Tahoma" w:hAnsi="Tahoma" w:cs="Tahoma"/>
                <w:bCs/>
                <w:color w:val="808080"/>
                <w:sz w:val="18"/>
                <w:szCs w:val="18"/>
              </w:rPr>
              <w:t xml:space="preserve">w segmencie przetargów kolejowych, wartość ofert złożonych przez Budimex w roku 2020 była porównywalna z rokiem poprzednim. Ofertowanie napędzane było głównie przez kontrakty </w:t>
            </w:r>
            <w:r w:rsidR="005F7CFF">
              <w:rPr>
                <w:rFonts w:ascii="Tahoma" w:eastAsia="Tahoma" w:hAnsi="Tahoma" w:cs="Tahoma"/>
                <w:bCs/>
                <w:color w:val="808080"/>
                <w:sz w:val="18"/>
                <w:szCs w:val="18"/>
              </w:rPr>
              <w:t>drogowe</w:t>
            </w:r>
            <w:r w:rsidRPr="00775CAB">
              <w:rPr>
                <w:rFonts w:ascii="Tahoma" w:eastAsia="Tahoma" w:hAnsi="Tahoma" w:cs="Tahoma"/>
                <w:bCs/>
                <w:color w:val="808080"/>
                <w:sz w:val="18"/>
                <w:szCs w:val="18"/>
              </w:rPr>
              <w:t>, gdzie złożyliśmy oferty o wartości 23,4 miliarda złotych</w:t>
            </w:r>
            <w:r w:rsidR="00712B2C">
              <w:rPr>
                <w:rFonts w:ascii="Tahoma" w:eastAsia="Tahoma" w:hAnsi="Tahoma" w:cs="Tahoma"/>
                <w:bCs/>
                <w:color w:val="808080"/>
                <w:sz w:val="18"/>
                <w:szCs w:val="18"/>
              </w:rPr>
              <w:t xml:space="preserve">. </w:t>
            </w:r>
            <w:r w:rsidR="005F7CFF">
              <w:rPr>
                <w:rFonts w:ascii="Tahoma" w:eastAsia="Tahoma" w:hAnsi="Tahoma" w:cs="Tahoma"/>
                <w:bCs/>
                <w:color w:val="808080"/>
                <w:sz w:val="18"/>
                <w:szCs w:val="18"/>
              </w:rPr>
              <w:br/>
            </w:r>
            <w:r w:rsidRPr="00775CAB">
              <w:rPr>
                <w:rFonts w:ascii="Tahoma" w:eastAsia="Tahoma" w:hAnsi="Tahoma" w:cs="Tahoma"/>
                <w:bCs/>
                <w:color w:val="808080"/>
                <w:sz w:val="18"/>
                <w:szCs w:val="18"/>
              </w:rPr>
              <w:lastRenderedPageBreak/>
              <w:t xml:space="preserve">W segmencie budownictwa ogólnego odnotowaliśmy znaczne wyhamowanie procesów przetargowych w drugim kwartale a następnie istotne przyspieszenie, szczególnie </w:t>
            </w:r>
            <w:r w:rsidR="005F7CFF">
              <w:rPr>
                <w:rFonts w:ascii="Tahoma" w:eastAsia="Tahoma" w:hAnsi="Tahoma" w:cs="Tahoma"/>
                <w:bCs/>
                <w:color w:val="808080"/>
                <w:sz w:val="18"/>
                <w:szCs w:val="18"/>
              </w:rPr>
              <w:br/>
            </w:r>
            <w:r w:rsidRPr="00775CAB">
              <w:rPr>
                <w:rFonts w:ascii="Tahoma" w:eastAsia="Tahoma" w:hAnsi="Tahoma" w:cs="Tahoma"/>
                <w:bCs/>
                <w:color w:val="808080"/>
                <w:sz w:val="18"/>
                <w:szCs w:val="18"/>
              </w:rPr>
              <w:t xml:space="preserve">w czwartym kwartale. Łączna wartość przygotowanych ofert w segmencie mieszkaniowym i </w:t>
            </w:r>
            <w:proofErr w:type="spellStart"/>
            <w:r w:rsidRPr="00775CAB">
              <w:rPr>
                <w:rFonts w:ascii="Tahoma" w:eastAsia="Tahoma" w:hAnsi="Tahoma" w:cs="Tahoma"/>
                <w:bCs/>
                <w:color w:val="808080"/>
                <w:sz w:val="18"/>
                <w:szCs w:val="18"/>
              </w:rPr>
              <w:t>niemieszkaniowym</w:t>
            </w:r>
            <w:proofErr w:type="spellEnd"/>
            <w:r w:rsidRPr="00775CAB">
              <w:rPr>
                <w:rFonts w:ascii="Tahoma" w:eastAsia="Tahoma" w:hAnsi="Tahoma" w:cs="Tahoma"/>
                <w:bCs/>
                <w:color w:val="808080"/>
                <w:sz w:val="18"/>
                <w:szCs w:val="18"/>
              </w:rPr>
              <w:t xml:space="preserve"> była zbliżona do roku 2019 i wyniosła nieco ponad 10 miliardów złotych. </w:t>
            </w:r>
          </w:p>
          <w:p w14:paraId="11665AF8" w14:textId="77777777" w:rsidR="00775CAB" w:rsidRPr="00775CAB" w:rsidRDefault="00775CAB" w:rsidP="00775CAB">
            <w:pPr>
              <w:spacing w:line="360" w:lineRule="auto"/>
              <w:jc w:val="both"/>
              <w:rPr>
                <w:rFonts w:ascii="Tahoma" w:eastAsia="Tahoma" w:hAnsi="Tahoma" w:cs="Tahoma"/>
                <w:bCs/>
                <w:color w:val="808080"/>
                <w:sz w:val="18"/>
                <w:szCs w:val="18"/>
              </w:rPr>
            </w:pPr>
          </w:p>
          <w:p w14:paraId="78C6D81A" w14:textId="77777777" w:rsidR="00330932" w:rsidRDefault="00775CAB" w:rsidP="00775CAB">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Istotna poprawa skuteczności ofertowania kontraktów drogowych, utrzymanie wysokiej skuteczności na rynku budownictwa ogólnego, a także pozyskanie kontraktu kolejowego na przebudowę stacji Warszawa Zachodnia za 1,8 miliarda złotych, pozwoliło podpisać rekordowe 9,0 miliardów złotych nowych zleceń. Na koniec grudnia 2020 roku wartość portfela zamówień osiągnęła  poziom 12,7 miliarda złotych. Poprzez wysoką aktywność</w:t>
            </w:r>
            <w:r>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w segmencie drogowym, kolejowym i hydrotechnicznym zwiększyliśmy wartość portfela</w:t>
            </w:r>
            <w:r>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zamówień</w:t>
            </w:r>
            <w:r w:rsidR="00AD1A09">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 xml:space="preserve">o 1,9 miliarda złotych, utrzymując przy tym jego dobrze zdywersyfikowaną strukturę. Główne segmenty, podobnie jak na koniec roku 2019, stanowiły kontakty infrastrukturalne (37%, wzrost o 4 </w:t>
            </w:r>
            <w:proofErr w:type="spellStart"/>
            <w:r w:rsidRPr="00775CAB">
              <w:rPr>
                <w:rFonts w:ascii="Tahoma" w:eastAsia="Tahoma" w:hAnsi="Tahoma" w:cs="Tahoma"/>
                <w:bCs/>
                <w:color w:val="808080"/>
                <w:sz w:val="18"/>
                <w:szCs w:val="18"/>
              </w:rPr>
              <w:t>p.p</w:t>
            </w:r>
            <w:proofErr w:type="spellEnd"/>
            <w:r w:rsidRPr="00775CAB">
              <w:rPr>
                <w:rFonts w:ascii="Tahoma" w:eastAsia="Tahoma" w:hAnsi="Tahoma" w:cs="Tahoma"/>
                <w:bCs/>
                <w:color w:val="808080"/>
                <w:sz w:val="18"/>
                <w:szCs w:val="18"/>
              </w:rPr>
              <w:t xml:space="preserve">.) oraz kolejowe (32%, spadek o 1 </w:t>
            </w:r>
            <w:proofErr w:type="spellStart"/>
            <w:r w:rsidRPr="00775CAB">
              <w:rPr>
                <w:rFonts w:ascii="Tahoma" w:eastAsia="Tahoma" w:hAnsi="Tahoma" w:cs="Tahoma"/>
                <w:bCs/>
                <w:color w:val="808080"/>
                <w:sz w:val="18"/>
                <w:szCs w:val="18"/>
              </w:rPr>
              <w:t>p.p</w:t>
            </w:r>
            <w:proofErr w:type="spellEnd"/>
            <w:r w:rsidRPr="00775CAB">
              <w:rPr>
                <w:rFonts w:ascii="Tahoma" w:eastAsia="Tahoma" w:hAnsi="Tahoma" w:cs="Tahoma"/>
                <w:bCs/>
                <w:color w:val="808080"/>
                <w:sz w:val="18"/>
                <w:szCs w:val="18"/>
              </w:rPr>
              <w:t xml:space="preserve">.). Sukcesywnie od 2018 r. zwiększamy w portfelu wartość kontraktów przemysłowych, osiągając na koniec roku 2020 1,1 miliarda złotych (8% portfela). </w:t>
            </w:r>
          </w:p>
          <w:p w14:paraId="3CA1F242" w14:textId="77777777" w:rsidR="00330932" w:rsidRDefault="00330932" w:rsidP="00775CAB">
            <w:pPr>
              <w:spacing w:line="360" w:lineRule="auto"/>
              <w:jc w:val="both"/>
              <w:rPr>
                <w:rFonts w:ascii="Tahoma" w:eastAsia="Tahoma" w:hAnsi="Tahoma" w:cs="Tahoma"/>
                <w:bCs/>
                <w:color w:val="808080"/>
                <w:sz w:val="18"/>
                <w:szCs w:val="18"/>
              </w:rPr>
            </w:pPr>
          </w:p>
          <w:p w14:paraId="62F261A1" w14:textId="6A153B31" w:rsidR="00775CAB" w:rsidRDefault="00775CAB" w:rsidP="00775CAB">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Dzięki pozyskaniu dwóch nowych kontraktów na przebudowę kanałów i wałów przeciwpowodziowych (</w:t>
            </w:r>
            <w:proofErr w:type="spellStart"/>
            <w:r w:rsidRPr="00775CAB">
              <w:rPr>
                <w:rFonts w:ascii="Tahoma" w:eastAsia="Tahoma" w:hAnsi="Tahoma" w:cs="Tahoma"/>
                <w:bCs/>
                <w:color w:val="808080"/>
                <w:sz w:val="18"/>
                <w:szCs w:val="18"/>
              </w:rPr>
              <w:t>Racza</w:t>
            </w:r>
            <w:proofErr w:type="spellEnd"/>
            <w:r w:rsidRPr="00775CAB">
              <w:rPr>
                <w:rFonts w:ascii="Tahoma" w:eastAsia="Tahoma" w:hAnsi="Tahoma" w:cs="Tahoma"/>
                <w:bCs/>
                <w:color w:val="808080"/>
                <w:sz w:val="18"/>
                <w:szCs w:val="18"/>
              </w:rPr>
              <w:t xml:space="preserve"> Struga oraz Krosno Odrzańskie) podkreśliliśmy swoją obecność w hydrotechnice, kończąc rok z portfelem zamówień w tym segmencie bliskim 0,4 miliarda złotych. </w:t>
            </w:r>
            <w:r w:rsidR="00330932">
              <w:rPr>
                <w:rFonts w:ascii="Tahoma" w:eastAsia="Tahoma" w:hAnsi="Tahoma" w:cs="Tahoma"/>
                <w:bCs/>
                <w:color w:val="808080"/>
                <w:sz w:val="18"/>
                <w:szCs w:val="18"/>
              </w:rPr>
              <w:t>L</w:t>
            </w:r>
            <w:r w:rsidRPr="00775CAB">
              <w:rPr>
                <w:rFonts w:ascii="Tahoma" w:eastAsia="Tahoma" w:hAnsi="Tahoma" w:cs="Tahoma"/>
                <w:bCs/>
                <w:color w:val="808080"/>
                <w:sz w:val="18"/>
                <w:szCs w:val="18"/>
              </w:rPr>
              <w:t>iczmy na podpisanie zlecenia na II etap prac związanych z przekopem przez Mierzeję Wiślaną, gdzie nasza oferta o wartości niemal 0,5 miliarda złotych została wybrana jako najkorzystniejsza</w:t>
            </w:r>
            <w:r w:rsidR="00DF6F79">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co dodatkowo wzmocniłoby </w:t>
            </w:r>
            <w:r w:rsidR="000935B7" w:rsidRPr="00775CAB">
              <w:rPr>
                <w:rFonts w:ascii="Tahoma" w:eastAsia="Tahoma" w:hAnsi="Tahoma" w:cs="Tahoma"/>
                <w:bCs/>
                <w:color w:val="808080"/>
                <w:sz w:val="18"/>
                <w:szCs w:val="18"/>
              </w:rPr>
              <w:t>nasz</w:t>
            </w:r>
            <w:r w:rsidR="000935B7">
              <w:rPr>
                <w:rFonts w:ascii="Tahoma" w:eastAsia="Tahoma" w:hAnsi="Tahoma" w:cs="Tahoma"/>
                <w:bCs/>
                <w:color w:val="808080"/>
                <w:sz w:val="18"/>
                <w:szCs w:val="18"/>
              </w:rPr>
              <w:t>ą</w:t>
            </w:r>
            <w:r w:rsidR="000935B7" w:rsidRPr="00775CAB">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 xml:space="preserve">pozycję.  </w:t>
            </w:r>
          </w:p>
          <w:p w14:paraId="4082C4DE" w14:textId="77777777" w:rsidR="00291889" w:rsidRDefault="00291889" w:rsidP="00775CAB">
            <w:pPr>
              <w:spacing w:line="360" w:lineRule="auto"/>
              <w:jc w:val="both"/>
              <w:rPr>
                <w:rFonts w:ascii="Tahoma" w:eastAsia="Tahoma" w:hAnsi="Tahoma" w:cs="Tahoma"/>
                <w:bCs/>
                <w:color w:val="808080"/>
                <w:sz w:val="18"/>
                <w:szCs w:val="18"/>
              </w:rPr>
            </w:pPr>
          </w:p>
          <w:p w14:paraId="07983DC6" w14:textId="3C9CA5E2" w:rsidR="00775CAB" w:rsidRDefault="00775CAB" w:rsidP="00775CAB">
            <w:pPr>
              <w:spacing w:line="360" w:lineRule="auto"/>
              <w:jc w:val="both"/>
              <w:rPr>
                <w:rFonts w:ascii="Tahoma" w:eastAsia="Tahoma" w:hAnsi="Tahoma" w:cs="Tahoma"/>
                <w:bCs/>
                <w:color w:val="808080"/>
                <w:sz w:val="18"/>
                <w:szCs w:val="18"/>
              </w:rPr>
            </w:pPr>
            <w:r w:rsidRPr="0026041E">
              <w:rPr>
                <w:rFonts w:ascii="Tahoma" w:eastAsia="Tahoma" w:hAnsi="Tahoma" w:cs="Tahoma"/>
                <w:b/>
                <w:color w:val="808080"/>
                <w:sz w:val="18"/>
                <w:szCs w:val="18"/>
              </w:rPr>
              <w:t>Grupa Budimex zakończyła 2020 rok z pozycją gotówkową netto na poziomie 2,1 miliarda złotych.</w:t>
            </w:r>
            <w:r w:rsidRPr="00775CAB">
              <w:rPr>
                <w:rFonts w:ascii="Tahoma" w:eastAsia="Tahoma" w:hAnsi="Tahoma" w:cs="Tahoma"/>
                <w:bCs/>
                <w:color w:val="808080"/>
                <w:sz w:val="18"/>
                <w:szCs w:val="18"/>
              </w:rPr>
              <w:t xml:space="preserve"> W porównaniu do stanu na 31 grudnia 2019 roku, była ona wyższa o 770 milionów złotych. Wzrost poziomu gotówki netto wynikał przede wszystkim z ogólnej poprawy rentowności Grupy oraz ograniczenia wysokości wypłaconej dywidendy za rok 2019. Ponadto, generowanie gotówki wspomagały przepływy na nowo podpisanych kontraktach budowlanych oraz przyrost salda wpłat od klientów w segmencie deweloperskim. </w:t>
            </w:r>
          </w:p>
          <w:p w14:paraId="58170846" w14:textId="21FCFCD6" w:rsidR="00DF6F79" w:rsidRDefault="00DD7855" w:rsidP="00775CAB">
            <w:pPr>
              <w:spacing w:line="360" w:lineRule="auto"/>
              <w:jc w:val="both"/>
              <w:rPr>
                <w:rFonts w:ascii="Tahoma" w:eastAsia="Tahoma" w:hAnsi="Tahoma" w:cs="Tahoma"/>
                <w:bCs/>
                <w:color w:val="808080"/>
                <w:sz w:val="18"/>
                <w:szCs w:val="18"/>
              </w:rPr>
            </w:pPr>
            <w:r w:rsidRPr="0026041E">
              <w:rPr>
                <w:rFonts w:ascii="Tahoma" w:eastAsia="Tahoma" w:hAnsi="Tahoma" w:cs="Tahoma"/>
                <w:b/>
                <w:noProof/>
                <w:color w:val="808080"/>
                <w:sz w:val="18"/>
                <w:szCs w:val="18"/>
              </w:rPr>
              <w:lastRenderedPageBreak/>
              <w:drawing>
                <wp:anchor distT="0" distB="0" distL="114300" distR="114300" simplePos="0" relativeHeight="251687936" behindDoc="1" locked="0" layoutInCell="1" allowOverlap="1" wp14:anchorId="6DF0953A" wp14:editId="2D60F63E">
                  <wp:simplePos x="0" y="0"/>
                  <wp:positionH relativeFrom="margin">
                    <wp:posOffset>28575</wp:posOffset>
                  </wp:positionH>
                  <wp:positionV relativeFrom="paragraph">
                    <wp:posOffset>300355</wp:posOffset>
                  </wp:positionV>
                  <wp:extent cx="4276725" cy="3144520"/>
                  <wp:effectExtent l="0" t="0" r="9525" b="0"/>
                  <wp:wrapTight wrapText="bothSides">
                    <wp:wrapPolygon edited="0">
                      <wp:start x="0" y="0"/>
                      <wp:lineTo x="0" y="21460"/>
                      <wp:lineTo x="21552" y="21460"/>
                      <wp:lineTo x="21552"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314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77FE1" w14:textId="1DCECF8C" w:rsidR="00775CAB" w:rsidRPr="00775CAB" w:rsidRDefault="00775CAB" w:rsidP="00775CAB">
            <w:pPr>
              <w:spacing w:line="360" w:lineRule="auto"/>
              <w:jc w:val="both"/>
              <w:rPr>
                <w:rFonts w:ascii="Tahoma" w:eastAsia="Tahoma" w:hAnsi="Tahoma" w:cs="Tahoma"/>
                <w:bCs/>
                <w:color w:val="808080"/>
                <w:sz w:val="18"/>
                <w:szCs w:val="18"/>
              </w:rPr>
            </w:pPr>
          </w:p>
          <w:p w14:paraId="218D8CF0" w14:textId="31C4F018" w:rsidR="00775CAB" w:rsidRDefault="00775CAB" w:rsidP="00775CAB">
            <w:pPr>
              <w:spacing w:line="360" w:lineRule="auto"/>
              <w:jc w:val="both"/>
              <w:rPr>
                <w:rFonts w:ascii="Tahoma" w:eastAsia="Tahoma" w:hAnsi="Tahoma" w:cs="Tahoma"/>
                <w:bCs/>
                <w:color w:val="808080"/>
                <w:sz w:val="18"/>
                <w:szCs w:val="18"/>
              </w:rPr>
            </w:pPr>
            <w:r w:rsidRPr="0026041E">
              <w:rPr>
                <w:rFonts w:ascii="Tahoma" w:eastAsia="Tahoma" w:hAnsi="Tahoma" w:cs="Tahoma"/>
                <w:b/>
                <w:color w:val="808080"/>
                <w:sz w:val="18"/>
                <w:szCs w:val="18"/>
              </w:rPr>
              <w:t xml:space="preserve">W roku 2020 przedsprzedaż segmentu deweloperskiego wyniosła 1 672 mieszkania i była nieznacznie wyższa </w:t>
            </w:r>
            <w:r w:rsidRPr="000B7985">
              <w:rPr>
                <w:rFonts w:ascii="Tahoma" w:eastAsia="Tahoma" w:hAnsi="Tahoma" w:cs="Tahoma"/>
                <w:color w:val="808080"/>
                <w:sz w:val="18"/>
                <w:szCs w:val="18"/>
              </w:rPr>
              <w:t>(</w:t>
            </w:r>
            <w:r w:rsidR="008373EA">
              <w:rPr>
                <w:rFonts w:ascii="Tahoma" w:eastAsia="Tahoma" w:hAnsi="Tahoma" w:cs="Tahoma"/>
                <w:color w:val="808080"/>
                <w:sz w:val="18"/>
                <w:szCs w:val="18"/>
              </w:rPr>
              <w:t>17 mieszkań</w:t>
            </w:r>
            <w:r w:rsidRPr="000B7985">
              <w:rPr>
                <w:rFonts w:ascii="Tahoma" w:eastAsia="Tahoma" w:hAnsi="Tahoma" w:cs="Tahoma"/>
                <w:color w:val="808080"/>
                <w:sz w:val="18"/>
                <w:szCs w:val="18"/>
              </w:rPr>
              <w:t>)</w:t>
            </w:r>
            <w:r w:rsidRPr="0026041E">
              <w:rPr>
                <w:rFonts w:ascii="Tahoma" w:eastAsia="Tahoma" w:hAnsi="Tahoma" w:cs="Tahoma"/>
                <w:b/>
                <w:color w:val="808080"/>
                <w:sz w:val="18"/>
                <w:szCs w:val="18"/>
              </w:rPr>
              <w:t xml:space="preserve"> niż w roku poprzednim. </w:t>
            </w:r>
            <w:r w:rsidRPr="00775CAB">
              <w:rPr>
                <w:rFonts w:ascii="Tahoma" w:eastAsia="Tahoma" w:hAnsi="Tahoma" w:cs="Tahoma"/>
                <w:bCs/>
                <w:color w:val="808080"/>
                <w:sz w:val="18"/>
                <w:szCs w:val="18"/>
              </w:rPr>
              <w:t xml:space="preserve">Wynik przedsprzedaży jest efektem utrzymującej się </w:t>
            </w:r>
            <w:r w:rsidR="00093C5B">
              <w:rPr>
                <w:rFonts w:ascii="Tahoma" w:eastAsia="Tahoma" w:hAnsi="Tahoma" w:cs="Tahoma"/>
                <w:bCs/>
                <w:color w:val="808080"/>
                <w:sz w:val="18"/>
                <w:szCs w:val="18"/>
              </w:rPr>
              <w:t>rozbudowanej</w:t>
            </w:r>
            <w:r w:rsidR="00093C5B" w:rsidRPr="00775CAB">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 xml:space="preserve">oferty mieszkaniowej spółki oraz </w:t>
            </w:r>
            <w:r w:rsidR="00093C5B">
              <w:rPr>
                <w:rFonts w:ascii="Tahoma" w:eastAsia="Tahoma" w:hAnsi="Tahoma" w:cs="Tahoma"/>
                <w:bCs/>
                <w:color w:val="808080"/>
                <w:sz w:val="18"/>
                <w:szCs w:val="18"/>
              </w:rPr>
              <w:t xml:space="preserve">utrzymującego się stabilnego </w:t>
            </w:r>
            <w:r w:rsidRPr="00775CAB">
              <w:rPr>
                <w:rFonts w:ascii="Tahoma" w:eastAsia="Tahoma" w:hAnsi="Tahoma" w:cs="Tahoma"/>
                <w:bCs/>
                <w:color w:val="808080"/>
                <w:sz w:val="18"/>
                <w:szCs w:val="18"/>
              </w:rPr>
              <w:t xml:space="preserve">popytu </w:t>
            </w:r>
            <w:r w:rsidR="00093C5B" w:rsidRPr="00775CAB">
              <w:rPr>
                <w:rFonts w:ascii="Tahoma" w:eastAsia="Tahoma" w:hAnsi="Tahoma" w:cs="Tahoma"/>
                <w:bCs/>
                <w:color w:val="808080"/>
                <w:sz w:val="18"/>
                <w:szCs w:val="18"/>
              </w:rPr>
              <w:t xml:space="preserve">strukturalnego </w:t>
            </w:r>
            <w:r w:rsidRPr="00775CAB">
              <w:rPr>
                <w:rFonts w:ascii="Tahoma" w:eastAsia="Tahoma" w:hAnsi="Tahoma" w:cs="Tahoma"/>
                <w:bCs/>
                <w:color w:val="808080"/>
                <w:sz w:val="18"/>
                <w:szCs w:val="18"/>
              </w:rPr>
              <w:t>na mieszkania w największych miastach.</w:t>
            </w:r>
            <w:r w:rsidR="00DF6F79">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Klienci Budimex Nieruchomości podpisali w 2020 roku 1 286 aktów notarialnych. Spadek w porównaniu do roku 2019 wyniósł 16% i jest on efektem mniejszej liczby zamkniętych projektów</w:t>
            </w:r>
            <w:r>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w stosunku do roku ubiegłego. Ograniczenia pandemiczne miały tylko tymczasowy wpływ na przekazania (przede wszystkim w marcu i kwietniu)</w:t>
            </w:r>
            <w:r w:rsidR="00DF6F79">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a łączna liczba zawartych aktów notarialnych jest zgodna z naszym harmonogramem. Przychody ze sprzedaży wyniosły 674 miliony złotych, co oznacza wzrost o 21% rok do roku. Zysk </w:t>
            </w:r>
            <w:r w:rsidR="00717A8C">
              <w:rPr>
                <w:rFonts w:ascii="Tahoma" w:eastAsia="Tahoma" w:hAnsi="Tahoma" w:cs="Tahoma"/>
                <w:bCs/>
                <w:color w:val="808080"/>
                <w:sz w:val="18"/>
                <w:szCs w:val="18"/>
              </w:rPr>
              <w:t>brutto</w:t>
            </w:r>
            <w:r w:rsidR="00717A8C" w:rsidRPr="00775CAB">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wzrósł z</w:t>
            </w:r>
            <w:r w:rsidR="00717A8C">
              <w:rPr>
                <w:rFonts w:ascii="Tahoma" w:eastAsia="Tahoma" w:hAnsi="Tahoma" w:cs="Tahoma"/>
                <w:bCs/>
                <w:color w:val="808080"/>
                <w:sz w:val="18"/>
                <w:szCs w:val="18"/>
              </w:rPr>
              <w:t>e</w:t>
            </w:r>
            <w:r w:rsidRPr="00775CAB">
              <w:rPr>
                <w:rFonts w:ascii="Tahoma" w:eastAsia="Tahoma" w:hAnsi="Tahoma" w:cs="Tahoma"/>
                <w:bCs/>
                <w:color w:val="808080"/>
                <w:sz w:val="18"/>
                <w:szCs w:val="18"/>
              </w:rPr>
              <w:t xml:space="preserve"> </w:t>
            </w:r>
            <w:r w:rsidR="00717A8C">
              <w:rPr>
                <w:rFonts w:ascii="Tahoma" w:eastAsia="Tahoma" w:hAnsi="Tahoma" w:cs="Tahoma"/>
                <w:bCs/>
                <w:color w:val="808080"/>
                <w:sz w:val="18"/>
                <w:szCs w:val="18"/>
              </w:rPr>
              <w:t xml:space="preserve">120 </w:t>
            </w:r>
            <w:r w:rsidRPr="00775CAB">
              <w:rPr>
                <w:rFonts w:ascii="Tahoma" w:eastAsia="Tahoma" w:hAnsi="Tahoma" w:cs="Tahoma"/>
                <w:bCs/>
                <w:color w:val="808080"/>
                <w:sz w:val="18"/>
                <w:szCs w:val="18"/>
              </w:rPr>
              <w:t xml:space="preserve">milionów </w:t>
            </w:r>
            <w:r w:rsidR="00717A8C">
              <w:rPr>
                <w:rFonts w:ascii="Tahoma" w:eastAsia="Tahoma" w:hAnsi="Tahoma" w:cs="Tahoma"/>
                <w:bCs/>
                <w:color w:val="808080"/>
                <w:sz w:val="18"/>
                <w:szCs w:val="18"/>
              </w:rPr>
              <w:br/>
            </w:r>
            <w:r w:rsidRPr="00775CAB">
              <w:rPr>
                <w:rFonts w:ascii="Tahoma" w:eastAsia="Tahoma" w:hAnsi="Tahoma" w:cs="Tahoma"/>
                <w:bCs/>
                <w:color w:val="808080"/>
                <w:sz w:val="18"/>
                <w:szCs w:val="18"/>
              </w:rPr>
              <w:t xml:space="preserve">w roku 2019 do rekordowych </w:t>
            </w:r>
            <w:r w:rsidR="00717A8C" w:rsidRPr="00775CAB">
              <w:rPr>
                <w:rFonts w:ascii="Tahoma" w:eastAsia="Tahoma" w:hAnsi="Tahoma" w:cs="Tahoma"/>
                <w:bCs/>
                <w:color w:val="808080"/>
                <w:sz w:val="18"/>
                <w:szCs w:val="18"/>
              </w:rPr>
              <w:t>1</w:t>
            </w:r>
            <w:r w:rsidR="00717A8C">
              <w:rPr>
                <w:rFonts w:ascii="Tahoma" w:eastAsia="Tahoma" w:hAnsi="Tahoma" w:cs="Tahoma"/>
                <w:bCs/>
                <w:color w:val="808080"/>
                <w:sz w:val="18"/>
                <w:szCs w:val="18"/>
              </w:rPr>
              <w:t>95</w:t>
            </w:r>
            <w:r w:rsidR="00717A8C" w:rsidRPr="00775CAB">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milionów złotych w roku 2020. Budimex Nieruchomości konsekwentnie utrzymuje wysoką dodatnią pozycję gotówkową netto.</w:t>
            </w:r>
          </w:p>
          <w:p w14:paraId="1BB3CC57" w14:textId="545A4DA8" w:rsidR="00AF4889" w:rsidRPr="007873D5" w:rsidRDefault="007873D5" w:rsidP="00775CAB">
            <w:pPr>
              <w:spacing w:line="360" w:lineRule="auto"/>
              <w:jc w:val="both"/>
              <w:rPr>
                <w:rFonts w:ascii="Tahoma" w:eastAsia="Tahoma" w:hAnsi="Tahoma" w:cs="Tahoma"/>
                <w:bCs/>
                <w:color w:val="808080"/>
                <w:sz w:val="18"/>
                <w:szCs w:val="18"/>
              </w:rPr>
            </w:pPr>
            <w:r w:rsidRPr="00314819">
              <w:rPr>
                <w:rFonts w:ascii="Tahoma" w:eastAsia="Tahoma" w:hAnsi="Tahoma" w:cs="Tahoma"/>
                <w:bCs/>
                <w:noProof/>
                <w:color w:val="808080"/>
                <w:sz w:val="18"/>
                <w:szCs w:val="18"/>
              </w:rPr>
              <w:lastRenderedPageBreak/>
              <w:drawing>
                <wp:anchor distT="0" distB="0" distL="114300" distR="114300" simplePos="0" relativeHeight="251699200" behindDoc="1" locked="0" layoutInCell="1" allowOverlap="1" wp14:anchorId="3AADBD02" wp14:editId="5EE844A6">
                  <wp:simplePos x="0" y="0"/>
                  <wp:positionH relativeFrom="column">
                    <wp:posOffset>-1905</wp:posOffset>
                  </wp:positionH>
                  <wp:positionV relativeFrom="paragraph">
                    <wp:posOffset>3202940</wp:posOffset>
                  </wp:positionV>
                  <wp:extent cx="4339590" cy="2129155"/>
                  <wp:effectExtent l="0" t="0" r="3810" b="4445"/>
                  <wp:wrapTight wrapText="bothSides">
                    <wp:wrapPolygon edited="0">
                      <wp:start x="0" y="0"/>
                      <wp:lineTo x="0" y="21452"/>
                      <wp:lineTo x="21524" y="21452"/>
                      <wp:lineTo x="2152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9590" cy="212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CAB" w:rsidRPr="0026041E">
              <w:rPr>
                <w:rFonts w:ascii="Tahoma" w:eastAsia="Tahoma" w:hAnsi="Tahoma" w:cs="Tahoma"/>
                <w:b/>
                <w:color w:val="808080"/>
                <w:sz w:val="18"/>
                <w:szCs w:val="18"/>
              </w:rPr>
              <w:t>W dniu 3 lipca 2020 roku zarząd Budimex S.A., podjął decyzję o rozpoczęciu przeglądu opcji strategicznych segmentu deweloperskiego</w:t>
            </w:r>
            <w:r w:rsidR="00DF6F79" w:rsidRPr="0026041E">
              <w:rPr>
                <w:rFonts w:ascii="Tahoma" w:eastAsia="Tahoma" w:hAnsi="Tahoma" w:cs="Tahoma"/>
                <w:b/>
                <w:color w:val="808080"/>
                <w:sz w:val="18"/>
                <w:szCs w:val="18"/>
              </w:rPr>
              <w:t>,</w:t>
            </w:r>
            <w:r w:rsidR="00775CAB" w:rsidRPr="00775CAB">
              <w:rPr>
                <w:rFonts w:ascii="Tahoma" w:eastAsia="Tahoma" w:hAnsi="Tahoma" w:cs="Tahoma"/>
                <w:bCs/>
                <w:color w:val="808080"/>
                <w:sz w:val="18"/>
                <w:szCs w:val="18"/>
              </w:rPr>
              <w:t xml:space="preserve"> w ramach którego postanowił przeanalizować między innymi scenariusze uwzgledniające pozyskanie znaczącego inwestora lub inwestorów</w:t>
            </w:r>
            <w:r w:rsidR="00DF6F79">
              <w:rPr>
                <w:rFonts w:ascii="Tahoma" w:eastAsia="Tahoma" w:hAnsi="Tahoma" w:cs="Tahoma"/>
                <w:bCs/>
                <w:color w:val="808080"/>
                <w:sz w:val="18"/>
                <w:szCs w:val="18"/>
              </w:rPr>
              <w:t>,</w:t>
            </w:r>
            <w:r w:rsidR="00775CAB" w:rsidRPr="00775CAB">
              <w:rPr>
                <w:rFonts w:ascii="Tahoma" w:eastAsia="Tahoma" w:hAnsi="Tahoma" w:cs="Tahoma"/>
                <w:bCs/>
                <w:color w:val="808080"/>
                <w:sz w:val="18"/>
                <w:szCs w:val="18"/>
              </w:rPr>
              <w:t xml:space="preserve"> czy wprowadzenie spółki na Giełdę Papierów Wartościowych w Warszawie. Scenariuszem analizowanym obecnie w pierwszej kolejnośc</w:t>
            </w:r>
            <w:r w:rsidR="004E7219">
              <w:rPr>
                <w:rFonts w:ascii="Tahoma" w:eastAsia="Tahoma" w:hAnsi="Tahoma" w:cs="Tahoma"/>
                <w:bCs/>
                <w:color w:val="808080"/>
                <w:sz w:val="18"/>
                <w:szCs w:val="18"/>
              </w:rPr>
              <w:t xml:space="preserve">i </w:t>
            </w:r>
            <w:r w:rsidR="00775CAB" w:rsidRPr="00775CAB">
              <w:rPr>
                <w:rFonts w:ascii="Tahoma" w:eastAsia="Tahoma" w:hAnsi="Tahoma" w:cs="Tahoma"/>
                <w:bCs/>
                <w:color w:val="808080"/>
                <w:sz w:val="18"/>
                <w:szCs w:val="18"/>
              </w:rPr>
              <w:t>jest sprzedaż całego pakietu udziałów w Budimex Nieruchomości. W ramach procesu rozpoznania zainteresowania nabyciem udziałów na koniec roku 2020 Budimex zdecydował o udzieleniu wyłączności wybranej grupie inwestorów składających wspólną ofertę</w:t>
            </w:r>
            <w:r w:rsidR="004E7219">
              <w:rPr>
                <w:rFonts w:ascii="Tahoma" w:eastAsia="Tahoma" w:hAnsi="Tahoma" w:cs="Tahoma"/>
                <w:bCs/>
                <w:color w:val="808080"/>
                <w:sz w:val="18"/>
                <w:szCs w:val="18"/>
              </w:rPr>
              <w:t xml:space="preserve">. Dwudziestego drugiego lutego </w:t>
            </w:r>
            <w:r w:rsidR="004E7219" w:rsidRPr="004E7219">
              <w:rPr>
                <w:rFonts w:ascii="Tahoma" w:eastAsia="Tahoma" w:hAnsi="Tahoma" w:cs="Tahoma"/>
                <w:bCs/>
                <w:color w:val="808080"/>
                <w:sz w:val="18"/>
                <w:szCs w:val="18"/>
              </w:rPr>
              <w:t xml:space="preserve">Budimex S.A. podjął decyzję o zawarciu warunkowej umowy sprzedaży Budimex Nieruchomości Sp. z o.o. </w:t>
            </w:r>
            <w:r w:rsidR="004E7219">
              <w:rPr>
                <w:rFonts w:ascii="Tahoma" w:eastAsia="Tahoma" w:hAnsi="Tahoma" w:cs="Tahoma"/>
                <w:bCs/>
                <w:color w:val="808080"/>
                <w:sz w:val="18"/>
                <w:szCs w:val="18"/>
              </w:rPr>
              <w:t xml:space="preserve">o wartości </w:t>
            </w:r>
            <w:r w:rsidR="004E7219" w:rsidRPr="004E7219">
              <w:rPr>
                <w:rFonts w:ascii="Tahoma" w:eastAsia="Tahoma" w:hAnsi="Tahoma" w:cs="Tahoma"/>
                <w:bCs/>
                <w:color w:val="808080"/>
                <w:sz w:val="18"/>
                <w:szCs w:val="18"/>
              </w:rPr>
              <w:t xml:space="preserve">1 mld 513 mln złotych. Nabywcą jest CP Developer </w:t>
            </w:r>
            <w:r w:rsidR="00271E13">
              <w:rPr>
                <w:rFonts w:ascii="Tahoma" w:eastAsia="Tahoma" w:hAnsi="Tahoma" w:cs="Tahoma"/>
                <w:bCs/>
                <w:color w:val="808080"/>
                <w:sz w:val="18"/>
                <w:szCs w:val="18"/>
              </w:rPr>
              <w:t xml:space="preserve">- </w:t>
            </w:r>
            <w:r w:rsidR="004E7219" w:rsidRPr="004E7219">
              <w:rPr>
                <w:rFonts w:ascii="Tahoma" w:eastAsia="Tahoma" w:hAnsi="Tahoma" w:cs="Tahoma"/>
                <w:bCs/>
                <w:color w:val="808080"/>
                <w:sz w:val="18"/>
                <w:szCs w:val="18"/>
              </w:rPr>
              <w:t xml:space="preserve">spółka utworzona </w:t>
            </w:r>
            <w:r w:rsidR="009B5EAF">
              <w:rPr>
                <w:rFonts w:ascii="Tahoma" w:eastAsia="Tahoma" w:hAnsi="Tahoma" w:cs="Tahoma"/>
                <w:bCs/>
                <w:color w:val="808080"/>
                <w:sz w:val="18"/>
                <w:szCs w:val="18"/>
              </w:rPr>
              <w:br/>
            </w:r>
            <w:r w:rsidR="004E7219" w:rsidRPr="004E7219">
              <w:rPr>
                <w:rFonts w:ascii="Tahoma" w:eastAsia="Tahoma" w:hAnsi="Tahoma" w:cs="Tahoma"/>
                <w:bCs/>
                <w:color w:val="808080"/>
                <w:sz w:val="18"/>
                <w:szCs w:val="18"/>
              </w:rPr>
              <w:t xml:space="preserve">w celu zawarcia umowy przez podmioty powiązane ze spółką: </w:t>
            </w:r>
            <w:proofErr w:type="spellStart"/>
            <w:r w:rsidR="004E7219" w:rsidRPr="004E7219">
              <w:rPr>
                <w:rFonts w:ascii="Tahoma" w:eastAsia="Tahoma" w:hAnsi="Tahoma" w:cs="Tahoma"/>
                <w:bCs/>
                <w:color w:val="808080"/>
                <w:sz w:val="18"/>
                <w:szCs w:val="18"/>
              </w:rPr>
              <w:t>Cornerstone</w:t>
            </w:r>
            <w:proofErr w:type="spellEnd"/>
            <w:r w:rsidR="004E7219" w:rsidRPr="004E7219">
              <w:rPr>
                <w:rFonts w:ascii="Tahoma" w:eastAsia="Tahoma" w:hAnsi="Tahoma" w:cs="Tahoma"/>
                <w:bCs/>
                <w:color w:val="808080"/>
                <w:sz w:val="18"/>
                <w:szCs w:val="18"/>
              </w:rPr>
              <w:t xml:space="preserve"> Partners sp. z o.o. z siedzibą w Warszawie i </w:t>
            </w:r>
            <w:proofErr w:type="spellStart"/>
            <w:r w:rsidR="004E7219" w:rsidRPr="004E7219">
              <w:rPr>
                <w:rFonts w:ascii="Tahoma" w:eastAsia="Tahoma" w:hAnsi="Tahoma" w:cs="Tahoma"/>
                <w:bCs/>
                <w:color w:val="808080"/>
                <w:sz w:val="18"/>
                <w:szCs w:val="18"/>
              </w:rPr>
              <w:t>Crestyl</w:t>
            </w:r>
            <w:proofErr w:type="spellEnd"/>
            <w:r w:rsidR="004E7219" w:rsidRPr="004E7219">
              <w:rPr>
                <w:rFonts w:ascii="Tahoma" w:eastAsia="Tahoma" w:hAnsi="Tahoma" w:cs="Tahoma"/>
                <w:bCs/>
                <w:color w:val="808080"/>
                <w:sz w:val="18"/>
                <w:szCs w:val="18"/>
              </w:rPr>
              <w:t xml:space="preserve"> Real </w:t>
            </w:r>
            <w:proofErr w:type="spellStart"/>
            <w:r w:rsidR="004E7219" w:rsidRPr="004E7219">
              <w:rPr>
                <w:rFonts w:ascii="Tahoma" w:eastAsia="Tahoma" w:hAnsi="Tahoma" w:cs="Tahoma"/>
                <w:bCs/>
                <w:color w:val="808080"/>
                <w:sz w:val="18"/>
                <w:szCs w:val="18"/>
              </w:rPr>
              <w:t>Estate</w:t>
            </w:r>
            <w:proofErr w:type="spellEnd"/>
            <w:r w:rsidR="004E7219" w:rsidRPr="004E7219">
              <w:rPr>
                <w:rFonts w:ascii="Tahoma" w:eastAsia="Tahoma" w:hAnsi="Tahoma" w:cs="Tahoma"/>
                <w:bCs/>
                <w:color w:val="808080"/>
                <w:sz w:val="18"/>
                <w:szCs w:val="18"/>
              </w:rPr>
              <w:t xml:space="preserve"> </w:t>
            </w:r>
            <w:proofErr w:type="spellStart"/>
            <w:r w:rsidR="004E7219" w:rsidRPr="004E7219">
              <w:rPr>
                <w:rFonts w:ascii="Tahoma" w:eastAsia="Tahoma" w:hAnsi="Tahoma" w:cs="Tahoma"/>
                <w:bCs/>
                <w:color w:val="808080"/>
                <w:sz w:val="18"/>
                <w:szCs w:val="18"/>
              </w:rPr>
              <w:t>s.r.o</w:t>
            </w:r>
            <w:proofErr w:type="spellEnd"/>
            <w:r w:rsidR="004E7219" w:rsidRPr="004E7219">
              <w:rPr>
                <w:rFonts w:ascii="Tahoma" w:eastAsia="Tahoma" w:hAnsi="Tahoma" w:cs="Tahoma"/>
                <w:bCs/>
                <w:color w:val="808080"/>
                <w:sz w:val="18"/>
                <w:szCs w:val="18"/>
              </w:rPr>
              <w:t xml:space="preserve">., z siedzibą w Pradze. </w:t>
            </w:r>
            <w:r w:rsidR="009B5EAF">
              <w:rPr>
                <w:rFonts w:ascii="Tahoma" w:eastAsia="Tahoma" w:hAnsi="Tahoma" w:cs="Tahoma"/>
                <w:bCs/>
                <w:color w:val="808080"/>
                <w:sz w:val="18"/>
                <w:szCs w:val="18"/>
              </w:rPr>
              <w:br/>
            </w:r>
            <w:r w:rsidR="00B50CA0">
              <w:rPr>
                <w:rFonts w:ascii="Tahoma" w:eastAsia="Tahoma" w:hAnsi="Tahoma" w:cs="Tahoma"/>
                <w:bCs/>
                <w:color w:val="808080"/>
                <w:sz w:val="18"/>
                <w:szCs w:val="18"/>
              </w:rPr>
              <w:t>W ocenie Zarządu</w:t>
            </w:r>
            <w:r w:rsidR="004E7219" w:rsidRPr="004E7219">
              <w:rPr>
                <w:rFonts w:ascii="Tahoma" w:eastAsia="Tahoma" w:hAnsi="Tahoma" w:cs="Tahoma"/>
                <w:bCs/>
                <w:color w:val="808080"/>
                <w:sz w:val="18"/>
                <w:szCs w:val="18"/>
              </w:rPr>
              <w:t xml:space="preserve"> parametry transakcji osiągnięte w toku negocjacji są korzystne dla obu stron</w:t>
            </w:r>
            <w:r>
              <w:rPr>
                <w:rFonts w:ascii="Tahoma" w:eastAsia="Tahoma" w:hAnsi="Tahoma" w:cs="Tahoma"/>
                <w:bCs/>
                <w:color w:val="808080"/>
                <w:sz w:val="18"/>
                <w:szCs w:val="18"/>
              </w:rPr>
              <w:t xml:space="preserve"> i spółki Budimex Nieruchomości.</w:t>
            </w:r>
          </w:p>
          <w:p w14:paraId="5ED2A9BB" w14:textId="53E00630" w:rsidR="00775CAB" w:rsidRPr="00775CAB" w:rsidRDefault="00775CAB" w:rsidP="00775CAB">
            <w:pPr>
              <w:spacing w:line="360" w:lineRule="auto"/>
              <w:jc w:val="both"/>
              <w:rPr>
                <w:rFonts w:ascii="Tahoma" w:eastAsia="Tahoma" w:hAnsi="Tahoma" w:cs="Tahoma"/>
                <w:bCs/>
                <w:color w:val="808080"/>
                <w:sz w:val="18"/>
                <w:szCs w:val="18"/>
              </w:rPr>
            </w:pPr>
            <w:r w:rsidRPr="0026041E">
              <w:rPr>
                <w:rFonts w:ascii="Tahoma" w:eastAsia="Tahoma" w:hAnsi="Tahoma" w:cs="Tahoma"/>
                <w:b/>
                <w:noProof/>
                <w:color w:val="808080"/>
                <w:sz w:val="18"/>
                <w:szCs w:val="18"/>
              </w:rPr>
              <mc:AlternateContent>
                <mc:Choice Requires="wps">
                  <w:drawing>
                    <wp:anchor distT="0" distB="0" distL="114300" distR="114300" simplePos="0" relativeHeight="251649024" behindDoc="0" locked="0" layoutInCell="1" allowOverlap="1" wp14:anchorId="6A95F474" wp14:editId="15D0072C">
                      <wp:simplePos x="0" y="0"/>
                      <wp:positionH relativeFrom="margin">
                        <wp:align>center</wp:align>
                      </wp:positionH>
                      <wp:positionV relativeFrom="page">
                        <wp:posOffset>9931207</wp:posOffset>
                      </wp:positionV>
                      <wp:extent cx="6487795" cy="244475"/>
                      <wp:effectExtent l="0" t="0" r="0" b="3175"/>
                      <wp:wrapNone/>
                      <wp:docPr id="12" name="Pole tekstowe 12"/>
                      <wp:cNvGraphicFramePr/>
                      <a:graphic xmlns:a="http://schemas.openxmlformats.org/drawingml/2006/main">
                        <a:graphicData uri="http://schemas.microsoft.com/office/word/2010/wordprocessingShape">
                          <wps:wsp>
                            <wps:cNvSpPr txBox="1"/>
                            <wps:spPr>
                              <a:xfrm>
                                <a:off x="0" y="0"/>
                                <a:ext cx="6487795" cy="244475"/>
                              </a:xfrm>
                              <a:prstGeom prst="rect">
                                <a:avLst/>
                              </a:prstGeom>
                              <a:noFill/>
                              <a:ln w="6350">
                                <a:noFill/>
                              </a:ln>
                            </wps:spPr>
                            <wps:txbx>
                              <w:txbxContent>
                                <w:p w14:paraId="1DC34D36" w14:textId="77777777" w:rsidR="00775CAB" w:rsidRPr="002B1C9B" w:rsidRDefault="00775CAB" w:rsidP="00775CAB">
                                  <w:pPr>
                                    <w:rPr>
                                      <w:rFonts w:ascii="Tahoma" w:hAnsi="Tahoma" w:cs="Tahoma"/>
                                      <w:i/>
                                      <w:color w:val="808080" w:themeColor="background1" w:themeShade="80"/>
                                      <w:sz w:val="14"/>
                                      <w:szCs w:val="14"/>
                                    </w:rPr>
                                  </w:pPr>
                                  <w:r w:rsidRPr="002B1C9B">
                                    <w:rPr>
                                      <w:rFonts w:ascii="Tahoma" w:hAnsi="Tahoma" w:cs="Tahoma"/>
                                      <w:i/>
                                      <w:color w:val="808080" w:themeColor="background1" w:themeShade="80"/>
                                      <w:sz w:val="14"/>
                                      <w:szCs w:val="14"/>
                                    </w:rPr>
                                    <w:t xml:space="preserve">*dane pro-forma, sporządzone przy założeniu konsolidacji </w:t>
                                  </w:r>
                                  <w:r>
                                    <w:rPr>
                                      <w:rFonts w:ascii="Tahoma" w:hAnsi="Tahoma" w:cs="Tahoma"/>
                                      <w:i/>
                                      <w:color w:val="808080" w:themeColor="background1" w:themeShade="80"/>
                                      <w:sz w:val="14"/>
                                      <w:szCs w:val="14"/>
                                    </w:rPr>
                                    <w:t>Grupy FBSerwis od 01.01.2019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F474" id="_x0000_t202" coordsize="21600,21600" o:spt="202" path="m,l,21600r21600,l21600,xe">
                      <v:stroke joinstyle="miter"/>
                      <v:path gradientshapeok="t" o:connecttype="rect"/>
                    </v:shapetype>
                    <v:shape id="Pole tekstowe 12" o:spid="_x0000_s1026" type="#_x0000_t202" style="position:absolute;left:0;text-align:left;margin-left:0;margin-top:782pt;width:510.85pt;height:19.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FMwIAAFgEAAAOAAAAZHJzL2Uyb0RvYy54bWysVFFv2jAQfp+0/2D5fQRYKG1EqFgrpkmo&#10;RaJTn41jk2i2z7MNCfv1OztAUbenaS/O+e585/u+z5ndd1qRg3C+AVPS0WBIiTAcqsbsSvr9Zfnp&#10;lhIfmKmYAiNKehSe3s8/fpi1thBjqEFVwhEsYnzR2pLWIdgiyzyvhWZ+AFYYDEpwmgXcul1WOdZi&#10;da2y8XB4k7XgKuuAC+/R+9gH6TzVl1Lw8CylF4GokuLdQlpdWrdxzeYzVuwcs3XDT9dg/3ALzRqD&#10;TS+lHllgZO+aP0rphjvwIMOAg85AyoaLNANOMxq+m2ZTMyvSLAiOtxeY/P8ry58Oa0eaCrkbU2KY&#10;Ro7WoAQJ4ocP0AqCfgSptb7A3I3F7NB9gQ4PnP0enXH2TjodvzgVwTjCfbxALLpAODpv8tvp9G5C&#10;CcfYOM/z6SSWyd5OW+fDVwGaRKOkDilMyLLDyoc+9ZwSmxlYNkolGpUhLXb4PBmmA5cIFlcGe8QZ&#10;+rtGK3Tb7jTYFqojzuWgl4e3fNlg8xXzYc0c6gFHQY2HZ1ykAmwCJ4uSGtyvv/ljPtKEUUpa1FdJ&#10;/c89c4IS9c0ggXejPI+CTJt8Mh3jxl1HttcRs9cPgBIe4WuyPJkxP6izKR3oV3wKi9gVQ8xw7F3S&#10;cDYfQq96fEpcLBYpCSVoWViZjeWxdIQzQvvSvTJnT/gHZO4JzkpkxTsa+tyeiMU+gGwSRxHgHtUT&#10;7ijfxPLpqcX3cb1PWW8/hPlvAAAA//8DAFBLAwQUAAYACAAAACEAsAIoqOEAAAALAQAADwAAAGRy&#10;cy9kb3ducmV2LnhtbEyPzU7DMBCE70i8g7WVuFG7EQlViFNVkSokBIeWXrg58TaJ6p8Qu23g6dme&#10;6G12ZzX7TbGarGFnHEPvnYTFXABD13jdu1bC/nPzuAQWonJaGe9Qwg8GWJX3d4XKtb+4LZ53sWUU&#10;4kKuJHQxDjnnoenQqjD3AzryDn60KtI4tlyP6kLh1vBEiIxb1Tv60KkBqw6b4+5kJbxVmw+1rRO7&#10;/DXV6/thPXzvv1IpH2bT+gVYxCn+H8MVn9ChJKban5wOzEigIpG2afZE6uqLZPEMrCaViSQFXhb8&#10;tkP5BwAA//8DAFBLAQItABQABgAIAAAAIQC2gziS/gAAAOEBAAATAAAAAAAAAAAAAAAAAAAAAABb&#10;Q29udGVudF9UeXBlc10ueG1sUEsBAi0AFAAGAAgAAAAhADj9If/WAAAAlAEAAAsAAAAAAAAAAAAA&#10;AAAALwEAAF9yZWxzLy5yZWxzUEsBAi0AFAAGAAgAAAAhAFyyOcUzAgAAWAQAAA4AAAAAAAAAAAAA&#10;AAAALgIAAGRycy9lMm9Eb2MueG1sUEsBAi0AFAAGAAgAAAAhALACKKjhAAAACwEAAA8AAAAAAAAA&#10;AAAAAAAAjQQAAGRycy9kb3ducmV2LnhtbFBLBQYAAAAABAAEAPMAAACbBQAAAAA=&#10;" filled="f" stroked="f" strokeweight=".5pt">
                      <v:textbox>
                        <w:txbxContent>
                          <w:p w14:paraId="1DC34D36" w14:textId="77777777" w:rsidR="00775CAB" w:rsidRPr="002B1C9B" w:rsidRDefault="00775CAB" w:rsidP="00775CAB">
                            <w:pPr>
                              <w:rPr>
                                <w:rFonts w:ascii="Tahoma" w:hAnsi="Tahoma" w:cs="Tahoma"/>
                                <w:i/>
                                <w:color w:val="808080" w:themeColor="background1" w:themeShade="80"/>
                                <w:sz w:val="14"/>
                                <w:szCs w:val="14"/>
                              </w:rPr>
                            </w:pPr>
                            <w:r w:rsidRPr="002B1C9B">
                              <w:rPr>
                                <w:rFonts w:ascii="Tahoma" w:hAnsi="Tahoma" w:cs="Tahoma"/>
                                <w:i/>
                                <w:color w:val="808080" w:themeColor="background1" w:themeShade="80"/>
                                <w:sz w:val="14"/>
                                <w:szCs w:val="14"/>
                              </w:rPr>
                              <w:t xml:space="preserve">*dane pro-forma, sporządzone przy założeniu konsolidacji </w:t>
                            </w:r>
                            <w:r>
                              <w:rPr>
                                <w:rFonts w:ascii="Tahoma" w:hAnsi="Tahoma" w:cs="Tahoma"/>
                                <w:i/>
                                <w:color w:val="808080" w:themeColor="background1" w:themeShade="80"/>
                                <w:sz w:val="14"/>
                                <w:szCs w:val="14"/>
                              </w:rPr>
                              <w:t>Grupy FBSerwis od 01.01.2019</w:t>
                            </w:r>
                          </w:p>
                        </w:txbxContent>
                      </v:textbox>
                      <w10:wrap anchorx="margin" anchory="page"/>
                    </v:shape>
                  </w:pict>
                </mc:Fallback>
              </mc:AlternateContent>
            </w:r>
            <w:r w:rsidRPr="0026041E">
              <w:rPr>
                <w:rFonts w:ascii="Tahoma" w:eastAsia="Tahoma" w:hAnsi="Tahoma" w:cs="Tahoma"/>
                <w:b/>
                <w:color w:val="808080"/>
                <w:sz w:val="18"/>
                <w:szCs w:val="18"/>
              </w:rPr>
              <w:t xml:space="preserve">Rok 2020 był rekordowy dla Grupy </w:t>
            </w:r>
            <w:proofErr w:type="spellStart"/>
            <w:r w:rsidRPr="0026041E">
              <w:rPr>
                <w:rFonts w:ascii="Tahoma" w:eastAsia="Tahoma" w:hAnsi="Tahoma" w:cs="Tahoma"/>
                <w:b/>
                <w:color w:val="808080"/>
                <w:sz w:val="18"/>
                <w:szCs w:val="18"/>
              </w:rPr>
              <w:t>FBSerwis</w:t>
            </w:r>
            <w:proofErr w:type="spellEnd"/>
            <w:r w:rsidRPr="0026041E">
              <w:rPr>
                <w:rFonts w:ascii="Tahoma" w:eastAsia="Tahoma" w:hAnsi="Tahoma" w:cs="Tahoma"/>
                <w:b/>
                <w:color w:val="808080"/>
                <w:sz w:val="18"/>
                <w:szCs w:val="18"/>
              </w:rPr>
              <w:t>. Kolejny rok z rzędu spółka odnotowała dwucyfrową dynamikę wzrostu sprzedaży przy jednoczesnej poprawie rentowności.</w:t>
            </w:r>
            <w:r w:rsidRPr="00775CAB">
              <w:rPr>
                <w:rFonts w:ascii="Tahoma" w:eastAsia="Tahoma" w:hAnsi="Tahoma" w:cs="Tahoma"/>
                <w:bCs/>
                <w:color w:val="808080"/>
                <w:sz w:val="18"/>
                <w:szCs w:val="18"/>
              </w:rPr>
              <w:t xml:space="preserve"> Przychody ze sprzedaży Grupy wyniosły</w:t>
            </w:r>
            <w:r w:rsidR="009B5EAF">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 xml:space="preserve">610 milionów złotych i wzrosły w stosunku do ubiegłego roku o 22%, z kolei zysk netto wyniósł 47 milionów złotych co stanowiło przyrost o 31 milionów rok do roku. Grupa Budimex objęła pełną konsolidacją Grupę </w:t>
            </w:r>
            <w:proofErr w:type="spellStart"/>
            <w:r w:rsidRPr="00775CAB">
              <w:rPr>
                <w:rFonts w:ascii="Tahoma" w:eastAsia="Tahoma" w:hAnsi="Tahoma" w:cs="Tahoma"/>
                <w:bCs/>
                <w:color w:val="808080"/>
                <w:sz w:val="18"/>
                <w:szCs w:val="18"/>
              </w:rPr>
              <w:t>FBSerwis</w:t>
            </w:r>
            <w:proofErr w:type="spellEnd"/>
            <w:r w:rsidRPr="00775CAB">
              <w:rPr>
                <w:rFonts w:ascii="Tahoma" w:eastAsia="Tahoma" w:hAnsi="Tahoma" w:cs="Tahoma"/>
                <w:bCs/>
                <w:color w:val="808080"/>
                <w:sz w:val="18"/>
                <w:szCs w:val="18"/>
              </w:rPr>
              <w:t xml:space="preserve"> w ramach segmentu usługowego od lipca 2019 roku.</w:t>
            </w:r>
            <w:r w:rsidR="00291889">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Osiągnięcie wyników było możliwe dzięki</w:t>
            </w:r>
            <w:r w:rsidR="00DF6F79">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dalszym inwestycjom Grupy w środki trwałe, zwiększaniu portfolio kontraktów, a także </w:t>
            </w:r>
            <w:r w:rsidR="009B5EAF">
              <w:rPr>
                <w:rFonts w:ascii="Tahoma" w:eastAsia="Tahoma" w:hAnsi="Tahoma" w:cs="Tahoma"/>
                <w:bCs/>
                <w:color w:val="808080"/>
                <w:sz w:val="18"/>
                <w:szCs w:val="18"/>
              </w:rPr>
              <w:t xml:space="preserve">wysokiej </w:t>
            </w:r>
            <w:r w:rsidRPr="00775CAB">
              <w:rPr>
                <w:rFonts w:ascii="Tahoma" w:eastAsia="Tahoma" w:hAnsi="Tahoma" w:cs="Tahoma"/>
                <w:bCs/>
                <w:color w:val="808080"/>
                <w:sz w:val="18"/>
                <w:szCs w:val="18"/>
              </w:rPr>
              <w:t xml:space="preserve">efektywności operacyjnej w branży odpadowej, stanowiącej główne źródło przychodów Grupy. Plany rozwojowe Grupy </w:t>
            </w:r>
            <w:proofErr w:type="spellStart"/>
            <w:r w:rsidRPr="00775CAB">
              <w:rPr>
                <w:rFonts w:ascii="Tahoma" w:eastAsia="Tahoma" w:hAnsi="Tahoma" w:cs="Tahoma"/>
                <w:bCs/>
                <w:color w:val="808080"/>
                <w:sz w:val="18"/>
                <w:szCs w:val="18"/>
              </w:rPr>
              <w:t>FBSerwis</w:t>
            </w:r>
            <w:proofErr w:type="spellEnd"/>
            <w:r w:rsidRPr="00775CAB">
              <w:rPr>
                <w:rFonts w:ascii="Tahoma" w:eastAsia="Tahoma" w:hAnsi="Tahoma" w:cs="Tahoma"/>
                <w:bCs/>
                <w:color w:val="808080"/>
                <w:sz w:val="18"/>
                <w:szCs w:val="18"/>
              </w:rPr>
              <w:t xml:space="preserve"> opierają się na dalszych długofalowych inwestycjach zwiększających potencjał operacyjny Grupy oraz poszukiwaniu atrakcyjnych celów akwizycyjnych.</w:t>
            </w:r>
          </w:p>
          <w:p w14:paraId="01E31642" w14:textId="77777777" w:rsidR="00775CAB" w:rsidRDefault="00775CAB" w:rsidP="00775CAB">
            <w:pPr>
              <w:spacing w:line="360" w:lineRule="auto"/>
              <w:jc w:val="both"/>
              <w:rPr>
                <w:rFonts w:ascii="Tahoma" w:eastAsia="Tahoma" w:hAnsi="Tahoma" w:cs="Tahoma"/>
                <w:bCs/>
                <w:color w:val="808080"/>
                <w:sz w:val="18"/>
                <w:szCs w:val="18"/>
              </w:rPr>
            </w:pPr>
          </w:p>
          <w:p w14:paraId="52C64BBE" w14:textId="587A9A8C" w:rsidR="00775CAB" w:rsidRPr="00775CAB" w:rsidRDefault="00775CAB" w:rsidP="00775CAB">
            <w:pPr>
              <w:spacing w:line="360" w:lineRule="auto"/>
              <w:jc w:val="both"/>
              <w:rPr>
                <w:rFonts w:ascii="Tahoma" w:eastAsia="Tahoma" w:hAnsi="Tahoma" w:cs="Tahoma"/>
                <w:bCs/>
                <w:color w:val="808080"/>
                <w:sz w:val="18"/>
                <w:szCs w:val="18"/>
              </w:rPr>
            </w:pPr>
            <w:r w:rsidRPr="0026041E">
              <w:rPr>
                <w:rFonts w:ascii="Tahoma" w:eastAsia="Tahoma" w:hAnsi="Tahoma" w:cs="Tahoma"/>
                <w:b/>
                <w:color w:val="808080"/>
                <w:sz w:val="18"/>
                <w:szCs w:val="18"/>
              </w:rPr>
              <w:t>Wchodzimy w rok 2021 z portfelem zamówień na poziomie 12,7 miliarda złotych.</w:t>
            </w:r>
            <w:r w:rsidRPr="00775CAB">
              <w:rPr>
                <w:rFonts w:ascii="Tahoma" w:eastAsia="Tahoma" w:hAnsi="Tahoma" w:cs="Tahoma"/>
                <w:bCs/>
                <w:color w:val="808080"/>
                <w:sz w:val="18"/>
                <w:szCs w:val="18"/>
              </w:rPr>
              <w:t xml:space="preserve"> Tak ambitny poziom zleceń do realizacji pozwala nam na bezpieczne </w:t>
            </w:r>
            <w:r w:rsidRPr="00775CAB">
              <w:rPr>
                <w:rFonts w:ascii="Tahoma" w:eastAsia="Tahoma" w:hAnsi="Tahoma" w:cs="Tahoma"/>
                <w:bCs/>
                <w:color w:val="808080"/>
                <w:sz w:val="18"/>
                <w:szCs w:val="18"/>
              </w:rPr>
              <w:lastRenderedPageBreak/>
              <w:t>podejście do ofertowania</w:t>
            </w:r>
            <w:r w:rsidR="00DF6F79">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a podpisane długoterminowe kontrakty drogowe i kolejowe zapewniają utrzymanie odpowiedniego obłożenia prac w obszarze inżynieryjnym </w:t>
            </w:r>
            <w:r w:rsidR="007D6975">
              <w:rPr>
                <w:rFonts w:ascii="Tahoma" w:eastAsia="Tahoma" w:hAnsi="Tahoma" w:cs="Tahoma"/>
                <w:bCs/>
                <w:color w:val="808080"/>
                <w:sz w:val="18"/>
                <w:szCs w:val="18"/>
              </w:rPr>
              <w:br/>
            </w:r>
            <w:r w:rsidRPr="00775CAB">
              <w:rPr>
                <w:rFonts w:ascii="Tahoma" w:eastAsia="Tahoma" w:hAnsi="Tahoma" w:cs="Tahoma"/>
                <w:bCs/>
                <w:color w:val="808080"/>
                <w:sz w:val="18"/>
                <w:szCs w:val="18"/>
              </w:rPr>
              <w:t xml:space="preserve">w perspektywie przynajmniej kilkunastu miesięcy. Jesteśmy odpowiednio przygotowani </w:t>
            </w:r>
            <w:r w:rsidR="007D6975">
              <w:rPr>
                <w:rFonts w:ascii="Tahoma" w:eastAsia="Tahoma" w:hAnsi="Tahoma" w:cs="Tahoma"/>
                <w:bCs/>
                <w:color w:val="808080"/>
                <w:sz w:val="18"/>
                <w:szCs w:val="18"/>
              </w:rPr>
              <w:t>kadrowo i technicznie</w:t>
            </w:r>
            <w:r w:rsidR="007D6975" w:rsidRPr="00775CAB">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do realizacji tych prac</w:t>
            </w:r>
            <w:r w:rsidR="007D6975">
              <w:rPr>
                <w:rFonts w:ascii="Tahoma" w:eastAsia="Tahoma" w:hAnsi="Tahoma" w:cs="Tahoma"/>
                <w:bCs/>
                <w:color w:val="808080"/>
                <w:sz w:val="18"/>
                <w:szCs w:val="18"/>
              </w:rPr>
              <w:t>.</w:t>
            </w:r>
            <w:r w:rsidR="007D6975" w:rsidRPr="00775CAB">
              <w:rPr>
                <w:rFonts w:ascii="Tahoma" w:eastAsia="Tahoma" w:hAnsi="Tahoma" w:cs="Tahoma"/>
                <w:bCs/>
                <w:color w:val="808080"/>
                <w:sz w:val="18"/>
                <w:szCs w:val="18"/>
              </w:rPr>
              <w:t xml:space="preserve"> </w:t>
            </w:r>
            <w:r w:rsidR="007D6975">
              <w:rPr>
                <w:rFonts w:ascii="Tahoma" w:eastAsia="Tahoma" w:hAnsi="Tahoma" w:cs="Tahoma"/>
                <w:bCs/>
                <w:color w:val="808080"/>
                <w:sz w:val="18"/>
                <w:szCs w:val="18"/>
              </w:rPr>
              <w:t>S</w:t>
            </w:r>
            <w:r w:rsidRPr="00775CAB">
              <w:rPr>
                <w:rFonts w:ascii="Tahoma" w:eastAsia="Tahoma" w:hAnsi="Tahoma" w:cs="Tahoma"/>
                <w:bCs/>
                <w:color w:val="808080"/>
                <w:sz w:val="18"/>
                <w:szCs w:val="18"/>
              </w:rPr>
              <w:t xml:space="preserve">ystematycznie modernizujemy naszą bazę sprzętową w obszarze drogowym oraz zwiększamy możliwości produkcyjne w kolejach. W ciągu ostatnich 3 lat, przygotowując się do zwiększenia skali działalności, jako Grupa zainwestowaliśmy ponad 300 milionów złotych, przede wszystkim w odnowę i zakupy nowych maszyn. </w:t>
            </w:r>
          </w:p>
          <w:p w14:paraId="615A5AC1" w14:textId="77777777" w:rsidR="00985437" w:rsidRDefault="00985437" w:rsidP="00775CAB">
            <w:pPr>
              <w:spacing w:line="360" w:lineRule="auto"/>
              <w:jc w:val="both"/>
              <w:rPr>
                <w:rFonts w:ascii="Tahoma" w:eastAsia="Tahoma" w:hAnsi="Tahoma" w:cs="Tahoma"/>
                <w:bCs/>
                <w:color w:val="808080"/>
                <w:sz w:val="18"/>
                <w:szCs w:val="18"/>
              </w:rPr>
            </w:pPr>
          </w:p>
          <w:p w14:paraId="629089E9" w14:textId="5513D41B" w:rsidR="00775CAB" w:rsidRDefault="00775CAB" w:rsidP="00775CAB">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 xml:space="preserve">Wyzwaniem w najbliższych kwartałach może być pozyskanie kontraktów w części kubaturowej, gdzie widoczne jest zaostrzenie konkurencji oraz ryzyko ograniczenia nowych inwestycji prywatnych (w szczególności obiektów biurowych i hotelowych) oraz częściowego wstrzymania planowanych inwestycji publicznych. W obszarze inżynieryjnym skala nowych inwestycji, według zapowiedzi GDDKiA oraz PKP PLK, powinna być zbliżona do roku 2020. To dobra informacja, ponieważ jeszcze kilka miesięcy temu obawialiśmy się spowolnienia procesów przetargowych, które jest charakterystyczne przy wejściu w nowy 7-letni budżet europejski. Patrząc na aktualny portfel zamówień spodziewamy się, że kolejne kwartały, jak i cały rok 2021, powinny przynieść utrzymanie wysokiego poziomu sprzedaży i rentowności powyżej wskaźników rynkowych. Jak zawsze, koncentrujemy się na realizacji powierzonych projektów, mając szczególnie na uwadze bezpieczeństwo, terminowość realizacji i wysoką jakość efektów pracy. </w:t>
            </w:r>
            <w:r w:rsidR="00B50CA0">
              <w:rPr>
                <w:rFonts w:ascii="Tahoma" w:eastAsia="Tahoma" w:hAnsi="Tahoma" w:cs="Tahoma"/>
                <w:bCs/>
                <w:color w:val="808080"/>
                <w:sz w:val="18"/>
                <w:szCs w:val="18"/>
              </w:rPr>
              <w:t>D</w:t>
            </w:r>
            <w:r w:rsidR="00DF6F79">
              <w:rPr>
                <w:rFonts w:ascii="Tahoma" w:eastAsia="Tahoma" w:hAnsi="Tahoma" w:cs="Tahoma"/>
                <w:bCs/>
                <w:color w:val="808080"/>
                <w:sz w:val="18"/>
                <w:szCs w:val="18"/>
              </w:rPr>
              <w:t>obra</w:t>
            </w:r>
            <w:r w:rsidR="0050050B">
              <w:rPr>
                <w:rFonts w:ascii="Tahoma" w:eastAsia="Tahoma" w:hAnsi="Tahoma" w:cs="Tahoma"/>
                <w:bCs/>
                <w:color w:val="808080"/>
                <w:sz w:val="18"/>
                <w:szCs w:val="18"/>
              </w:rPr>
              <w:t xml:space="preserve"> </w:t>
            </w:r>
            <w:r w:rsidRPr="00775CAB">
              <w:rPr>
                <w:rFonts w:ascii="Tahoma" w:eastAsia="Tahoma" w:hAnsi="Tahoma" w:cs="Tahoma"/>
                <w:bCs/>
                <w:color w:val="808080"/>
                <w:sz w:val="18"/>
                <w:szCs w:val="18"/>
              </w:rPr>
              <w:t xml:space="preserve">pozycja bilansowa i perspektywa </w:t>
            </w:r>
            <w:r w:rsidR="00B50CA0">
              <w:rPr>
                <w:rFonts w:ascii="Tahoma" w:eastAsia="Tahoma" w:hAnsi="Tahoma" w:cs="Tahoma"/>
                <w:bCs/>
                <w:color w:val="808080"/>
                <w:sz w:val="18"/>
                <w:szCs w:val="18"/>
              </w:rPr>
              <w:t xml:space="preserve">wyjścia z segmentu deweloperskiego </w:t>
            </w:r>
            <w:r w:rsidRPr="00775CAB">
              <w:rPr>
                <w:rFonts w:ascii="Tahoma" w:eastAsia="Tahoma" w:hAnsi="Tahoma" w:cs="Tahoma"/>
                <w:bCs/>
                <w:color w:val="808080"/>
                <w:sz w:val="18"/>
                <w:szCs w:val="18"/>
              </w:rPr>
              <w:t xml:space="preserve">zachęca nas do poszukiwania nowych możliwości dywersyfikacji segmentowej (w tym wejście jako inwestor w rynek energii odnawialnej) i geograficznej. </w:t>
            </w:r>
          </w:p>
          <w:p w14:paraId="537E0873" w14:textId="77777777" w:rsidR="00291889" w:rsidRPr="00775CAB" w:rsidRDefault="00291889" w:rsidP="00775CAB">
            <w:pPr>
              <w:spacing w:line="360" w:lineRule="auto"/>
              <w:jc w:val="both"/>
              <w:rPr>
                <w:rFonts w:ascii="Tahoma" w:eastAsia="Tahoma" w:hAnsi="Tahoma" w:cs="Tahoma"/>
                <w:bCs/>
                <w:color w:val="808080"/>
                <w:sz w:val="18"/>
                <w:szCs w:val="18"/>
              </w:rPr>
            </w:pPr>
          </w:p>
          <w:p w14:paraId="5E079CE3" w14:textId="2516FDC5" w:rsidR="00775CAB" w:rsidRDefault="00775CAB" w:rsidP="00775CAB">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 xml:space="preserve">Ciągle dużą niewiadomą jest dalszy przebieg pandemii i jej wpływ na funkcjonowanie gospodarki, w tym na dostępność kadry i ciągłość dostaw, dlatego cały czas dokładnie monitorujemy sytuację i na bieżąco weryfikujemy nasze założenia operacyjne. </w:t>
            </w:r>
          </w:p>
          <w:p w14:paraId="7E1227CF" w14:textId="77777777" w:rsidR="00291889" w:rsidRPr="00775CAB" w:rsidRDefault="00291889" w:rsidP="00775CAB">
            <w:pPr>
              <w:spacing w:line="360" w:lineRule="auto"/>
              <w:jc w:val="both"/>
              <w:rPr>
                <w:rFonts w:ascii="Tahoma" w:eastAsia="Tahoma" w:hAnsi="Tahoma" w:cs="Tahoma"/>
                <w:bCs/>
                <w:color w:val="808080"/>
                <w:sz w:val="18"/>
                <w:szCs w:val="18"/>
              </w:rPr>
            </w:pPr>
          </w:p>
          <w:p w14:paraId="62E1590B" w14:textId="483429BF" w:rsidR="00775CAB" w:rsidRPr="00775CAB" w:rsidRDefault="00775CAB" w:rsidP="00775CAB">
            <w:pPr>
              <w:spacing w:line="360" w:lineRule="auto"/>
              <w:jc w:val="both"/>
              <w:rPr>
                <w:rFonts w:ascii="Tahoma" w:eastAsia="Tahoma" w:hAnsi="Tahoma" w:cs="Tahoma"/>
                <w:bCs/>
                <w:color w:val="808080"/>
                <w:sz w:val="18"/>
                <w:szCs w:val="18"/>
              </w:rPr>
            </w:pPr>
            <w:r w:rsidRPr="0026041E">
              <w:rPr>
                <w:rFonts w:ascii="Tahoma" w:eastAsia="Tahoma" w:hAnsi="Tahoma" w:cs="Tahoma"/>
                <w:b/>
                <w:color w:val="808080"/>
                <w:sz w:val="18"/>
                <w:szCs w:val="18"/>
              </w:rPr>
              <w:t xml:space="preserve">W 2020 roku Grupa Budimex zainwestowała ponad 4 miliony złotych </w:t>
            </w:r>
            <w:r w:rsidR="00E94DE1">
              <w:rPr>
                <w:rFonts w:ascii="Tahoma" w:eastAsia="Tahoma" w:hAnsi="Tahoma" w:cs="Tahoma"/>
                <w:b/>
                <w:color w:val="808080"/>
                <w:sz w:val="18"/>
                <w:szCs w:val="18"/>
              </w:rPr>
              <w:br/>
            </w:r>
            <w:r w:rsidRPr="0026041E">
              <w:rPr>
                <w:rFonts w:ascii="Tahoma" w:eastAsia="Tahoma" w:hAnsi="Tahoma" w:cs="Tahoma"/>
                <w:b/>
                <w:color w:val="808080"/>
                <w:sz w:val="18"/>
                <w:szCs w:val="18"/>
              </w:rPr>
              <w:t>w programy społeczne, sponsoringi i darowizny.</w:t>
            </w:r>
            <w:r w:rsidRPr="00775CAB">
              <w:rPr>
                <w:rFonts w:ascii="Tahoma" w:eastAsia="Tahoma" w:hAnsi="Tahoma" w:cs="Tahoma"/>
                <w:bCs/>
                <w:color w:val="808080"/>
                <w:sz w:val="18"/>
                <w:szCs w:val="18"/>
              </w:rPr>
              <w:t xml:space="preserve"> Ponad 2,6 miliona złotych dotyczyło darowizn i grantów</w:t>
            </w:r>
            <w:r w:rsidR="0064310D">
              <w:rPr>
                <w:rFonts w:ascii="Tahoma" w:eastAsia="Tahoma" w:hAnsi="Tahoma" w:cs="Tahoma"/>
                <w:bCs/>
                <w:color w:val="808080"/>
                <w:sz w:val="18"/>
                <w:szCs w:val="18"/>
              </w:rPr>
              <w:t xml:space="preserve"> finansowych</w:t>
            </w:r>
            <w:r w:rsidRPr="00775CAB">
              <w:rPr>
                <w:rFonts w:ascii="Tahoma" w:eastAsia="Tahoma" w:hAnsi="Tahoma" w:cs="Tahoma"/>
                <w:bCs/>
                <w:color w:val="808080"/>
                <w:sz w:val="18"/>
                <w:szCs w:val="18"/>
              </w:rPr>
              <w:t xml:space="preserve"> na zwalczanie skutków pandemii </w:t>
            </w:r>
            <w:proofErr w:type="spellStart"/>
            <w:r w:rsidRPr="00775CAB">
              <w:rPr>
                <w:rFonts w:ascii="Tahoma" w:eastAsia="Tahoma" w:hAnsi="Tahoma" w:cs="Tahoma"/>
                <w:bCs/>
                <w:color w:val="808080"/>
                <w:sz w:val="18"/>
                <w:szCs w:val="18"/>
              </w:rPr>
              <w:t>koronawirusa</w:t>
            </w:r>
            <w:proofErr w:type="spellEnd"/>
            <w:r w:rsidR="0050050B">
              <w:rPr>
                <w:rFonts w:ascii="Tahoma" w:eastAsia="Tahoma" w:hAnsi="Tahoma" w:cs="Tahoma"/>
                <w:bCs/>
                <w:color w:val="808080"/>
                <w:sz w:val="18"/>
                <w:szCs w:val="18"/>
              </w:rPr>
              <w:t>.</w:t>
            </w:r>
            <w:r w:rsidRPr="00775CAB">
              <w:rPr>
                <w:rFonts w:ascii="Tahoma" w:eastAsia="Tahoma" w:hAnsi="Tahoma" w:cs="Tahoma"/>
                <w:bCs/>
                <w:color w:val="808080"/>
                <w:sz w:val="18"/>
                <w:szCs w:val="18"/>
              </w:rPr>
              <w:t xml:space="preserve"> Środki te trafiły głównie do szpitali, domów pomocy społecznej </w:t>
            </w:r>
            <w:r w:rsidR="00E94DE1">
              <w:rPr>
                <w:rFonts w:ascii="Tahoma" w:eastAsia="Tahoma" w:hAnsi="Tahoma" w:cs="Tahoma"/>
                <w:bCs/>
                <w:color w:val="808080"/>
                <w:sz w:val="18"/>
                <w:szCs w:val="18"/>
              </w:rPr>
              <w:br/>
            </w:r>
            <w:r w:rsidRPr="00775CAB">
              <w:rPr>
                <w:rFonts w:ascii="Tahoma" w:eastAsia="Tahoma" w:hAnsi="Tahoma" w:cs="Tahoma"/>
                <w:bCs/>
                <w:color w:val="808080"/>
                <w:sz w:val="18"/>
                <w:szCs w:val="18"/>
              </w:rPr>
              <w:t xml:space="preserve">i placówek medycznych, w których leczeni są pacjenci z COVID-19. Część z tych funduszy została przekazana organizacjom pożytku publicznego zajmującym się wsparciem lokalnych społeczności w przeciwdziałaniu rozprzestrzenianiu się pandemii. Budimex pozostaje największym płatnikiem podatku CIT wśród firm budowlanych </w:t>
            </w:r>
            <w:r w:rsidR="00E94DE1">
              <w:rPr>
                <w:rFonts w:ascii="Tahoma" w:eastAsia="Tahoma" w:hAnsi="Tahoma" w:cs="Tahoma"/>
                <w:bCs/>
                <w:color w:val="808080"/>
                <w:sz w:val="18"/>
                <w:szCs w:val="18"/>
              </w:rPr>
              <w:br/>
            </w:r>
            <w:r w:rsidRPr="00775CAB">
              <w:rPr>
                <w:rFonts w:ascii="Tahoma" w:eastAsia="Tahoma" w:hAnsi="Tahoma" w:cs="Tahoma"/>
                <w:bCs/>
                <w:color w:val="808080"/>
                <w:sz w:val="18"/>
                <w:szCs w:val="18"/>
              </w:rPr>
              <w:t xml:space="preserve">w kraju. Według rankingu przygotowanego przez Ministerstwo Finansów Budimex awansował od 2017 roku z 61 na 25. miejsce wśród największych płatników indywidualnych podatku CIT w Polsce. </w:t>
            </w:r>
          </w:p>
          <w:p w14:paraId="5DB69C7F" w14:textId="77777777" w:rsidR="00286464" w:rsidRDefault="00286464" w:rsidP="00775CAB">
            <w:pPr>
              <w:spacing w:line="360" w:lineRule="auto"/>
              <w:jc w:val="both"/>
              <w:rPr>
                <w:rFonts w:ascii="Tahoma" w:eastAsia="Tahoma" w:hAnsi="Tahoma" w:cs="Tahoma"/>
                <w:b/>
                <w:color w:val="808080"/>
                <w:sz w:val="18"/>
                <w:szCs w:val="18"/>
              </w:rPr>
            </w:pPr>
          </w:p>
          <w:p w14:paraId="03D42F08" w14:textId="0FA8E71A" w:rsidR="00775CAB" w:rsidRPr="00775CAB" w:rsidRDefault="00775CAB" w:rsidP="00775CAB">
            <w:pPr>
              <w:spacing w:line="360" w:lineRule="auto"/>
              <w:jc w:val="both"/>
              <w:rPr>
                <w:rFonts w:ascii="Tahoma" w:eastAsia="Tahoma" w:hAnsi="Tahoma" w:cs="Tahoma"/>
                <w:b/>
                <w:color w:val="808080"/>
                <w:sz w:val="18"/>
                <w:szCs w:val="18"/>
              </w:rPr>
            </w:pPr>
            <w:r w:rsidRPr="00775CAB">
              <w:rPr>
                <w:rFonts w:ascii="Tahoma" w:eastAsia="Tahoma" w:hAnsi="Tahoma" w:cs="Tahoma"/>
                <w:b/>
                <w:color w:val="808080"/>
                <w:sz w:val="18"/>
                <w:szCs w:val="18"/>
              </w:rPr>
              <w:t xml:space="preserve">Grupa BUDIMEX </w:t>
            </w:r>
          </w:p>
          <w:p w14:paraId="7CD3094E" w14:textId="77777777" w:rsidR="00286464" w:rsidRDefault="00286464" w:rsidP="00775CAB">
            <w:pPr>
              <w:spacing w:line="360" w:lineRule="auto"/>
              <w:jc w:val="both"/>
              <w:rPr>
                <w:rFonts w:ascii="Tahoma" w:eastAsia="Tahoma" w:hAnsi="Tahoma" w:cs="Tahoma"/>
                <w:bCs/>
                <w:color w:val="808080"/>
                <w:sz w:val="18"/>
                <w:szCs w:val="18"/>
              </w:rPr>
            </w:pPr>
          </w:p>
          <w:p w14:paraId="7E1CFF5F" w14:textId="419E9BFD" w:rsidR="00775CAB" w:rsidRDefault="00775CAB" w:rsidP="00775CAB">
            <w:pPr>
              <w:spacing w:line="360" w:lineRule="auto"/>
              <w:jc w:val="both"/>
              <w:rPr>
                <w:rFonts w:ascii="Tahoma" w:eastAsia="Tahoma" w:hAnsi="Tahoma" w:cs="Tahoma"/>
                <w:bCs/>
                <w:color w:val="808080"/>
                <w:sz w:val="18"/>
                <w:szCs w:val="18"/>
              </w:rPr>
            </w:pPr>
            <w:r w:rsidRPr="00775CAB">
              <w:rPr>
                <w:rFonts w:ascii="Tahoma" w:eastAsia="Tahoma" w:hAnsi="Tahoma" w:cs="Tahoma"/>
                <w:bCs/>
                <w:color w:val="808080"/>
                <w:sz w:val="18"/>
                <w:szCs w:val="18"/>
              </w:rPr>
              <w:t xml:space="preserve">Wybrane dane finansowe ze skonsolidowanego sprawozdania Grupy Budimex sporządzonego zgodnie z Międzynarodowymi Standardami Sprawozdawczości Finansowej (MSSF) za rok 2020 roku oraz porównywalne dane za rok 2019. </w:t>
            </w:r>
          </w:p>
          <w:p w14:paraId="12791107" w14:textId="77777777" w:rsidR="00291889" w:rsidRPr="00775CAB" w:rsidRDefault="00291889" w:rsidP="00775CAB">
            <w:pPr>
              <w:spacing w:line="360" w:lineRule="auto"/>
              <w:jc w:val="both"/>
              <w:rPr>
                <w:rFonts w:ascii="Tahoma" w:eastAsia="Tahoma" w:hAnsi="Tahoma" w:cs="Tahoma"/>
                <w:bCs/>
                <w:color w:val="808080"/>
                <w:sz w:val="18"/>
                <w:szCs w:val="18"/>
              </w:rPr>
            </w:pPr>
          </w:p>
          <w:p w14:paraId="397DEBEE" w14:textId="77777777" w:rsidR="00775CAB" w:rsidRPr="00775CAB" w:rsidRDefault="00775CAB" w:rsidP="00775CAB">
            <w:pPr>
              <w:spacing w:line="360" w:lineRule="auto"/>
              <w:jc w:val="both"/>
              <w:rPr>
                <w:rFonts w:ascii="Tahoma" w:eastAsia="Tahoma" w:hAnsi="Tahoma" w:cs="Tahoma"/>
                <w:b/>
                <w:color w:val="808080"/>
                <w:sz w:val="18"/>
                <w:szCs w:val="18"/>
                <w:u w:val="single"/>
              </w:rPr>
            </w:pPr>
            <w:r w:rsidRPr="00775CAB">
              <w:rPr>
                <w:rFonts w:ascii="Tahoma" w:eastAsia="Tahoma" w:hAnsi="Tahoma" w:cs="Tahoma"/>
                <w:b/>
                <w:color w:val="808080"/>
                <w:sz w:val="18"/>
                <w:szCs w:val="18"/>
                <w:u w:val="single"/>
              </w:rPr>
              <w:t xml:space="preserve">Wyniki segmentów sprawozdawczych za rok 2020 </w:t>
            </w:r>
            <w:r w:rsidRPr="000B7985">
              <w:rPr>
                <w:rFonts w:ascii="Tahoma" w:eastAsia="Tahoma" w:hAnsi="Tahoma" w:cs="Tahoma"/>
                <w:color w:val="808080"/>
                <w:sz w:val="18"/>
                <w:szCs w:val="18"/>
                <w:u w:val="single"/>
              </w:rPr>
              <w:t>(w tysiącach złotych):</w:t>
            </w:r>
            <w:r w:rsidRPr="00775CAB">
              <w:rPr>
                <w:rFonts w:ascii="Tahoma" w:eastAsia="Tahoma" w:hAnsi="Tahoma" w:cs="Tahoma"/>
                <w:b/>
                <w:color w:val="808080"/>
                <w:sz w:val="18"/>
                <w:szCs w:val="18"/>
                <w:u w:val="single"/>
              </w:rPr>
              <w:t xml:space="preserve"> </w:t>
            </w:r>
          </w:p>
          <w:p w14:paraId="716AFA26" w14:textId="77777777" w:rsidR="006B7429" w:rsidRPr="00291889" w:rsidRDefault="006B7429" w:rsidP="00F41795">
            <w:pPr>
              <w:spacing w:line="360" w:lineRule="auto"/>
              <w:jc w:val="both"/>
              <w:rPr>
                <w:rFonts w:ascii="Tahoma" w:eastAsia="Tahoma" w:hAnsi="Tahoma" w:cs="Tahoma"/>
                <w:bCs/>
                <w:color w:val="7F7F7F" w:themeColor="text1" w:themeTint="80"/>
                <w:sz w:val="18"/>
                <w:szCs w:val="18"/>
              </w:rPr>
            </w:pPr>
          </w:p>
          <w:tbl>
            <w:tblPr>
              <w:tblW w:w="6847" w:type="dxa"/>
              <w:tblLayout w:type="fixed"/>
              <w:tblCellMar>
                <w:left w:w="70" w:type="dxa"/>
                <w:right w:w="70" w:type="dxa"/>
              </w:tblCellMar>
              <w:tblLook w:val="04A0" w:firstRow="1" w:lastRow="0" w:firstColumn="1" w:lastColumn="0" w:noHBand="0" w:noVBand="1"/>
            </w:tblPr>
            <w:tblGrid>
              <w:gridCol w:w="2113"/>
              <w:gridCol w:w="1038"/>
              <w:gridCol w:w="865"/>
              <w:gridCol w:w="865"/>
              <w:gridCol w:w="974"/>
              <w:gridCol w:w="992"/>
            </w:tblGrid>
            <w:tr w:rsidR="00553801" w:rsidRPr="00291889" w14:paraId="51001172" w14:textId="77777777" w:rsidTr="000B7985">
              <w:trPr>
                <w:trHeight w:val="468"/>
              </w:trPr>
              <w:tc>
                <w:tcPr>
                  <w:tcW w:w="2113" w:type="dxa"/>
                  <w:tcBorders>
                    <w:top w:val="nil"/>
                    <w:left w:val="nil"/>
                    <w:bottom w:val="nil"/>
                    <w:right w:val="nil"/>
                  </w:tcBorders>
                  <w:shd w:val="clear" w:color="auto" w:fill="auto"/>
                  <w:vAlign w:val="center"/>
                  <w:hideMark/>
                </w:tcPr>
                <w:p w14:paraId="11330380" w14:textId="77777777" w:rsidR="00553801" w:rsidRPr="00AF4889" w:rsidRDefault="00553801" w:rsidP="00553801">
                  <w:pPr>
                    <w:spacing w:after="0" w:line="240" w:lineRule="auto"/>
                    <w:rPr>
                      <w:rFonts w:ascii="Times New Roman" w:eastAsia="Times New Roman" w:hAnsi="Times New Roman"/>
                      <w:color w:val="7F7F7F" w:themeColor="text1" w:themeTint="80"/>
                      <w:sz w:val="16"/>
                      <w:szCs w:val="16"/>
                    </w:rPr>
                  </w:pPr>
                </w:p>
              </w:tc>
              <w:tc>
                <w:tcPr>
                  <w:tcW w:w="1038" w:type="dxa"/>
                  <w:tcBorders>
                    <w:top w:val="single" w:sz="8" w:space="0" w:color="auto"/>
                    <w:left w:val="nil"/>
                    <w:bottom w:val="single" w:sz="8" w:space="0" w:color="auto"/>
                    <w:right w:val="nil"/>
                  </w:tcBorders>
                  <w:shd w:val="clear" w:color="auto" w:fill="auto"/>
                  <w:vAlign w:val="center"/>
                  <w:hideMark/>
                </w:tcPr>
                <w:p w14:paraId="6D1A1033" w14:textId="7287CD97" w:rsidR="00553801" w:rsidRPr="000B7985" w:rsidRDefault="00553801" w:rsidP="00553801">
                  <w:pPr>
                    <w:spacing w:after="0" w:line="240" w:lineRule="auto"/>
                    <w:jc w:val="center"/>
                    <w:rPr>
                      <w:rFonts w:ascii="Tahoma" w:eastAsia="Times New Roman" w:hAnsi="Tahoma" w:cs="Tahoma"/>
                      <w:color w:val="7F7F7F" w:themeColor="text1" w:themeTint="80"/>
                      <w:sz w:val="14"/>
                      <w:szCs w:val="14"/>
                    </w:rPr>
                  </w:pPr>
                  <w:r w:rsidRPr="00AF4889">
                    <w:rPr>
                      <w:rFonts w:ascii="Tahoma" w:eastAsia="Times New Roman" w:hAnsi="Tahoma" w:cs="Tahoma"/>
                      <w:color w:val="7F7F7F" w:themeColor="text1" w:themeTint="80"/>
                      <w:sz w:val="14"/>
                      <w:szCs w:val="14"/>
                    </w:rPr>
                    <w:t>Segment budowlany</w:t>
                  </w:r>
                </w:p>
              </w:tc>
              <w:tc>
                <w:tcPr>
                  <w:tcW w:w="865" w:type="dxa"/>
                  <w:tcBorders>
                    <w:top w:val="single" w:sz="8" w:space="0" w:color="auto"/>
                    <w:left w:val="nil"/>
                    <w:bottom w:val="single" w:sz="8" w:space="0" w:color="auto"/>
                    <w:right w:val="nil"/>
                  </w:tcBorders>
                  <w:shd w:val="clear" w:color="auto" w:fill="auto"/>
                  <w:vAlign w:val="center"/>
                  <w:hideMark/>
                </w:tcPr>
                <w:p w14:paraId="1BEC7867" w14:textId="5EE706CD" w:rsidR="00553801" w:rsidRPr="000B7985" w:rsidRDefault="00553801" w:rsidP="00553801">
                  <w:pPr>
                    <w:spacing w:after="0" w:line="240" w:lineRule="auto"/>
                    <w:jc w:val="center"/>
                    <w:rPr>
                      <w:rFonts w:ascii="Tahoma" w:eastAsia="Times New Roman" w:hAnsi="Tahoma" w:cs="Tahoma"/>
                      <w:color w:val="7F7F7F" w:themeColor="text1" w:themeTint="80"/>
                      <w:sz w:val="14"/>
                      <w:szCs w:val="14"/>
                    </w:rPr>
                  </w:pPr>
                  <w:r w:rsidRPr="00AF4889">
                    <w:rPr>
                      <w:rFonts w:ascii="Tahoma" w:eastAsia="Times New Roman" w:hAnsi="Tahoma" w:cs="Tahoma"/>
                      <w:color w:val="7F7F7F" w:themeColor="text1" w:themeTint="80"/>
                      <w:sz w:val="12"/>
                      <w:szCs w:val="12"/>
                    </w:rPr>
                    <w:t>Segment deweloperski</w:t>
                  </w:r>
                </w:p>
              </w:tc>
              <w:tc>
                <w:tcPr>
                  <w:tcW w:w="865" w:type="dxa"/>
                  <w:tcBorders>
                    <w:top w:val="single" w:sz="8" w:space="0" w:color="auto"/>
                    <w:left w:val="nil"/>
                    <w:bottom w:val="single" w:sz="8" w:space="0" w:color="auto"/>
                    <w:right w:val="nil"/>
                  </w:tcBorders>
                  <w:shd w:val="clear" w:color="auto" w:fill="auto"/>
                  <w:vAlign w:val="center"/>
                  <w:hideMark/>
                </w:tcPr>
                <w:p w14:paraId="59D3D544" w14:textId="5FFCC482" w:rsidR="00553801" w:rsidRPr="000B7985" w:rsidRDefault="00553801" w:rsidP="00553801">
                  <w:pPr>
                    <w:spacing w:after="0" w:line="240" w:lineRule="auto"/>
                    <w:jc w:val="center"/>
                    <w:rPr>
                      <w:rFonts w:ascii="Tahoma" w:eastAsia="Times New Roman" w:hAnsi="Tahoma" w:cs="Tahoma"/>
                      <w:color w:val="7F7F7F" w:themeColor="text1" w:themeTint="80"/>
                      <w:sz w:val="14"/>
                      <w:szCs w:val="14"/>
                    </w:rPr>
                  </w:pPr>
                  <w:r>
                    <w:rPr>
                      <w:rFonts w:ascii="Tahoma" w:eastAsia="Times New Roman" w:hAnsi="Tahoma" w:cs="Tahoma"/>
                      <w:color w:val="7F7F7F" w:themeColor="text1" w:themeTint="80"/>
                      <w:sz w:val="14"/>
                      <w:szCs w:val="14"/>
                    </w:rPr>
                    <w:t>Segment usług</w:t>
                  </w:r>
                </w:p>
              </w:tc>
              <w:tc>
                <w:tcPr>
                  <w:tcW w:w="974" w:type="dxa"/>
                  <w:tcBorders>
                    <w:top w:val="single" w:sz="8" w:space="0" w:color="auto"/>
                    <w:left w:val="nil"/>
                    <w:bottom w:val="single" w:sz="8" w:space="0" w:color="auto"/>
                    <w:right w:val="nil"/>
                  </w:tcBorders>
                  <w:shd w:val="clear" w:color="auto" w:fill="auto"/>
                  <w:vAlign w:val="center"/>
                  <w:hideMark/>
                </w:tcPr>
                <w:p w14:paraId="2EA98758" w14:textId="7F0B877D" w:rsidR="00553801" w:rsidRPr="000B7985" w:rsidRDefault="00553801" w:rsidP="00553801">
                  <w:pPr>
                    <w:spacing w:after="0" w:line="240" w:lineRule="auto"/>
                    <w:jc w:val="center"/>
                    <w:rPr>
                      <w:rFonts w:ascii="Tahoma" w:eastAsia="Times New Roman" w:hAnsi="Tahoma" w:cs="Tahoma"/>
                      <w:color w:val="7F7F7F" w:themeColor="text1" w:themeTint="80"/>
                      <w:sz w:val="14"/>
                      <w:szCs w:val="14"/>
                    </w:rPr>
                  </w:pPr>
                  <w:r w:rsidRPr="00AF4889">
                    <w:rPr>
                      <w:rFonts w:ascii="Tahoma" w:eastAsia="Times New Roman" w:hAnsi="Tahoma" w:cs="Tahoma"/>
                      <w:color w:val="7F7F7F" w:themeColor="text1" w:themeTint="80"/>
                      <w:sz w:val="14"/>
                      <w:szCs w:val="14"/>
                    </w:rPr>
                    <w:t>Wyłączenia</w:t>
                  </w:r>
                </w:p>
              </w:tc>
              <w:tc>
                <w:tcPr>
                  <w:tcW w:w="992" w:type="dxa"/>
                  <w:tcBorders>
                    <w:top w:val="single" w:sz="8" w:space="0" w:color="auto"/>
                    <w:left w:val="nil"/>
                    <w:bottom w:val="single" w:sz="8" w:space="0" w:color="auto"/>
                    <w:right w:val="nil"/>
                  </w:tcBorders>
                  <w:shd w:val="clear" w:color="auto" w:fill="auto"/>
                  <w:vAlign w:val="center"/>
                  <w:hideMark/>
                </w:tcPr>
                <w:p w14:paraId="38B9F530" w14:textId="7859C58F" w:rsidR="00553801" w:rsidRPr="000B7985" w:rsidRDefault="00553801" w:rsidP="00553801">
                  <w:pPr>
                    <w:spacing w:after="0" w:line="240" w:lineRule="auto"/>
                    <w:jc w:val="center"/>
                    <w:rPr>
                      <w:rFonts w:ascii="Tahoma" w:eastAsia="Times New Roman" w:hAnsi="Tahoma" w:cs="Tahoma"/>
                      <w:color w:val="7F7F7F" w:themeColor="text1" w:themeTint="80"/>
                      <w:sz w:val="14"/>
                      <w:szCs w:val="14"/>
                    </w:rPr>
                  </w:pPr>
                  <w:r w:rsidRPr="00AF4889">
                    <w:rPr>
                      <w:rFonts w:ascii="Tahoma" w:eastAsia="Times New Roman" w:hAnsi="Tahoma" w:cs="Tahoma"/>
                      <w:b/>
                      <w:bCs/>
                      <w:color w:val="7F7F7F" w:themeColor="text1" w:themeTint="80"/>
                      <w:sz w:val="10"/>
                      <w:szCs w:val="10"/>
                    </w:rPr>
                    <w:t xml:space="preserve">Dane skonsolidowane </w:t>
                  </w:r>
                </w:p>
              </w:tc>
            </w:tr>
            <w:tr w:rsidR="00553801" w:rsidRPr="00291889" w14:paraId="4074B3ED" w14:textId="77777777" w:rsidTr="000B7985">
              <w:trPr>
                <w:trHeight w:val="314"/>
              </w:trPr>
              <w:tc>
                <w:tcPr>
                  <w:tcW w:w="2113" w:type="dxa"/>
                  <w:tcBorders>
                    <w:top w:val="nil"/>
                    <w:left w:val="nil"/>
                    <w:bottom w:val="nil"/>
                    <w:right w:val="nil"/>
                  </w:tcBorders>
                  <w:shd w:val="clear" w:color="auto" w:fill="auto"/>
                  <w:vAlign w:val="center"/>
                  <w:hideMark/>
                </w:tcPr>
                <w:p w14:paraId="0AAA288B"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Przychody netto ze sprzedaży  produktów, towarów i materiałów</w:t>
                  </w:r>
                </w:p>
              </w:tc>
              <w:tc>
                <w:tcPr>
                  <w:tcW w:w="1038" w:type="dxa"/>
                  <w:tcBorders>
                    <w:top w:val="nil"/>
                    <w:left w:val="nil"/>
                    <w:bottom w:val="single" w:sz="8" w:space="0" w:color="auto"/>
                    <w:right w:val="nil"/>
                  </w:tcBorders>
                  <w:shd w:val="clear" w:color="auto" w:fill="auto"/>
                  <w:vAlign w:val="center"/>
                  <w:hideMark/>
                </w:tcPr>
                <w:p w14:paraId="3CE22614" w14:textId="26FD0898"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7 539 404</w:t>
                  </w:r>
                </w:p>
              </w:tc>
              <w:tc>
                <w:tcPr>
                  <w:tcW w:w="865" w:type="dxa"/>
                  <w:tcBorders>
                    <w:top w:val="nil"/>
                    <w:left w:val="nil"/>
                    <w:bottom w:val="single" w:sz="8" w:space="0" w:color="auto"/>
                    <w:right w:val="nil"/>
                  </w:tcBorders>
                  <w:shd w:val="clear" w:color="auto" w:fill="auto"/>
                  <w:vAlign w:val="center"/>
                  <w:hideMark/>
                </w:tcPr>
                <w:p w14:paraId="4ADB8EFA" w14:textId="543F7C9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673 564</w:t>
                  </w:r>
                </w:p>
              </w:tc>
              <w:tc>
                <w:tcPr>
                  <w:tcW w:w="865" w:type="dxa"/>
                  <w:tcBorders>
                    <w:top w:val="nil"/>
                    <w:left w:val="nil"/>
                    <w:bottom w:val="single" w:sz="8" w:space="0" w:color="auto"/>
                    <w:right w:val="nil"/>
                  </w:tcBorders>
                  <w:shd w:val="clear" w:color="auto" w:fill="auto"/>
                  <w:vAlign w:val="center"/>
                  <w:hideMark/>
                </w:tcPr>
                <w:p w14:paraId="6408F21F" w14:textId="229CAB9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612 391</w:t>
                  </w:r>
                </w:p>
              </w:tc>
              <w:tc>
                <w:tcPr>
                  <w:tcW w:w="974" w:type="dxa"/>
                  <w:tcBorders>
                    <w:top w:val="nil"/>
                    <w:left w:val="nil"/>
                    <w:bottom w:val="single" w:sz="8" w:space="0" w:color="auto"/>
                    <w:right w:val="nil"/>
                  </w:tcBorders>
                  <w:shd w:val="clear" w:color="auto" w:fill="auto"/>
                  <w:vAlign w:val="center"/>
                  <w:hideMark/>
                </w:tcPr>
                <w:p w14:paraId="463D7F48" w14:textId="265F9F3C"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(443 119)</w:t>
                  </w:r>
                </w:p>
              </w:tc>
              <w:tc>
                <w:tcPr>
                  <w:tcW w:w="992" w:type="dxa"/>
                  <w:tcBorders>
                    <w:top w:val="nil"/>
                    <w:left w:val="nil"/>
                    <w:bottom w:val="single" w:sz="8" w:space="0" w:color="auto"/>
                    <w:right w:val="nil"/>
                  </w:tcBorders>
                  <w:shd w:val="clear" w:color="auto" w:fill="auto"/>
                  <w:vAlign w:val="center"/>
                  <w:hideMark/>
                </w:tcPr>
                <w:p w14:paraId="4048B5D6" w14:textId="3D6C95D7"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8 382 240</w:t>
                  </w:r>
                </w:p>
              </w:tc>
            </w:tr>
            <w:tr w:rsidR="00553801" w:rsidRPr="00291889" w14:paraId="0EDD2380" w14:textId="77777777" w:rsidTr="000B7985">
              <w:trPr>
                <w:trHeight w:val="279"/>
              </w:trPr>
              <w:tc>
                <w:tcPr>
                  <w:tcW w:w="2113" w:type="dxa"/>
                  <w:tcBorders>
                    <w:top w:val="nil"/>
                    <w:left w:val="nil"/>
                    <w:bottom w:val="nil"/>
                    <w:right w:val="nil"/>
                  </w:tcBorders>
                  <w:shd w:val="clear" w:color="auto" w:fill="auto"/>
                  <w:vAlign w:val="center"/>
                  <w:hideMark/>
                </w:tcPr>
                <w:p w14:paraId="58275520"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 brutto ze sprzedaży</w:t>
                  </w:r>
                </w:p>
              </w:tc>
              <w:tc>
                <w:tcPr>
                  <w:tcW w:w="1038" w:type="dxa"/>
                  <w:tcBorders>
                    <w:top w:val="nil"/>
                    <w:left w:val="nil"/>
                    <w:bottom w:val="single" w:sz="8" w:space="0" w:color="auto"/>
                    <w:right w:val="nil"/>
                  </w:tcBorders>
                  <w:shd w:val="clear" w:color="auto" w:fill="auto"/>
                  <w:vAlign w:val="center"/>
                  <w:hideMark/>
                </w:tcPr>
                <w:p w14:paraId="77F99825" w14:textId="09BD392B"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629 381</w:t>
                  </w:r>
                </w:p>
              </w:tc>
              <w:tc>
                <w:tcPr>
                  <w:tcW w:w="865" w:type="dxa"/>
                  <w:tcBorders>
                    <w:top w:val="nil"/>
                    <w:left w:val="nil"/>
                    <w:bottom w:val="single" w:sz="8" w:space="0" w:color="auto"/>
                    <w:right w:val="nil"/>
                  </w:tcBorders>
                  <w:shd w:val="clear" w:color="auto" w:fill="auto"/>
                  <w:vAlign w:val="center"/>
                  <w:hideMark/>
                </w:tcPr>
                <w:p w14:paraId="3D4EB662" w14:textId="3B46D4DA"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235 096</w:t>
                  </w:r>
                </w:p>
              </w:tc>
              <w:tc>
                <w:tcPr>
                  <w:tcW w:w="865" w:type="dxa"/>
                  <w:tcBorders>
                    <w:top w:val="nil"/>
                    <w:left w:val="nil"/>
                    <w:bottom w:val="single" w:sz="8" w:space="0" w:color="auto"/>
                    <w:right w:val="nil"/>
                  </w:tcBorders>
                  <w:shd w:val="clear" w:color="auto" w:fill="auto"/>
                  <w:vAlign w:val="center"/>
                  <w:hideMark/>
                </w:tcPr>
                <w:p w14:paraId="0FB799A8" w14:textId="27608BCF"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110 053</w:t>
                  </w:r>
                </w:p>
              </w:tc>
              <w:tc>
                <w:tcPr>
                  <w:tcW w:w="974" w:type="dxa"/>
                  <w:tcBorders>
                    <w:top w:val="nil"/>
                    <w:left w:val="nil"/>
                    <w:bottom w:val="single" w:sz="8" w:space="0" w:color="auto"/>
                    <w:right w:val="nil"/>
                  </w:tcBorders>
                  <w:shd w:val="clear" w:color="auto" w:fill="auto"/>
                  <w:vAlign w:val="center"/>
                  <w:hideMark/>
                </w:tcPr>
                <w:p w14:paraId="118E8386" w14:textId="3DE04B28"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(37 497)</w:t>
                  </w:r>
                </w:p>
              </w:tc>
              <w:tc>
                <w:tcPr>
                  <w:tcW w:w="992" w:type="dxa"/>
                  <w:tcBorders>
                    <w:top w:val="nil"/>
                    <w:left w:val="nil"/>
                    <w:bottom w:val="single" w:sz="8" w:space="0" w:color="auto"/>
                    <w:right w:val="nil"/>
                  </w:tcBorders>
                  <w:shd w:val="clear" w:color="auto" w:fill="auto"/>
                  <w:vAlign w:val="center"/>
                  <w:hideMark/>
                </w:tcPr>
                <w:p w14:paraId="235855B7" w14:textId="60B017E5"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937 033</w:t>
                  </w:r>
                </w:p>
              </w:tc>
            </w:tr>
            <w:tr w:rsidR="00553801" w:rsidRPr="00291889" w14:paraId="2817420E" w14:textId="77777777" w:rsidTr="000B7985">
              <w:trPr>
                <w:trHeight w:val="279"/>
              </w:trPr>
              <w:tc>
                <w:tcPr>
                  <w:tcW w:w="2113" w:type="dxa"/>
                  <w:tcBorders>
                    <w:top w:val="nil"/>
                    <w:left w:val="nil"/>
                    <w:bottom w:val="nil"/>
                    <w:right w:val="nil"/>
                  </w:tcBorders>
                  <w:shd w:val="clear" w:color="auto" w:fill="auto"/>
                  <w:vAlign w:val="center"/>
                  <w:hideMark/>
                </w:tcPr>
                <w:p w14:paraId="54A7AD0E"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Koszty sprzedaży</w:t>
                  </w:r>
                </w:p>
              </w:tc>
              <w:tc>
                <w:tcPr>
                  <w:tcW w:w="1038" w:type="dxa"/>
                  <w:tcBorders>
                    <w:top w:val="nil"/>
                    <w:left w:val="nil"/>
                    <w:bottom w:val="single" w:sz="8" w:space="0" w:color="auto"/>
                    <w:right w:val="nil"/>
                  </w:tcBorders>
                  <w:shd w:val="clear" w:color="auto" w:fill="auto"/>
                  <w:vAlign w:val="center"/>
                  <w:hideMark/>
                </w:tcPr>
                <w:p w14:paraId="3FA6DDD5" w14:textId="5E91884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(11 219)</w:t>
                  </w:r>
                </w:p>
              </w:tc>
              <w:tc>
                <w:tcPr>
                  <w:tcW w:w="865" w:type="dxa"/>
                  <w:tcBorders>
                    <w:top w:val="nil"/>
                    <w:left w:val="nil"/>
                    <w:bottom w:val="single" w:sz="8" w:space="0" w:color="auto"/>
                    <w:right w:val="nil"/>
                  </w:tcBorders>
                  <w:shd w:val="clear" w:color="auto" w:fill="auto"/>
                  <w:vAlign w:val="center"/>
                  <w:hideMark/>
                </w:tcPr>
                <w:p w14:paraId="7F9915DB" w14:textId="1025EEB4"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(20 054)</w:t>
                  </w:r>
                </w:p>
              </w:tc>
              <w:tc>
                <w:tcPr>
                  <w:tcW w:w="865" w:type="dxa"/>
                  <w:tcBorders>
                    <w:top w:val="nil"/>
                    <w:left w:val="nil"/>
                    <w:bottom w:val="single" w:sz="8" w:space="0" w:color="auto"/>
                    <w:right w:val="nil"/>
                  </w:tcBorders>
                  <w:shd w:val="clear" w:color="auto" w:fill="auto"/>
                  <w:vAlign w:val="center"/>
                  <w:hideMark/>
                </w:tcPr>
                <w:p w14:paraId="2EE87ED3" w14:textId="1A4319E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w:t>
                  </w:r>
                </w:p>
              </w:tc>
              <w:tc>
                <w:tcPr>
                  <w:tcW w:w="974" w:type="dxa"/>
                  <w:tcBorders>
                    <w:top w:val="nil"/>
                    <w:left w:val="nil"/>
                    <w:bottom w:val="single" w:sz="8" w:space="0" w:color="auto"/>
                    <w:right w:val="nil"/>
                  </w:tcBorders>
                  <w:shd w:val="clear" w:color="auto" w:fill="auto"/>
                  <w:vAlign w:val="center"/>
                  <w:hideMark/>
                </w:tcPr>
                <w:p w14:paraId="28563FB1" w14:textId="1B447FD8"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w:t>
                  </w:r>
                </w:p>
              </w:tc>
              <w:tc>
                <w:tcPr>
                  <w:tcW w:w="992" w:type="dxa"/>
                  <w:tcBorders>
                    <w:top w:val="nil"/>
                    <w:left w:val="nil"/>
                    <w:bottom w:val="single" w:sz="8" w:space="0" w:color="auto"/>
                    <w:right w:val="nil"/>
                  </w:tcBorders>
                  <w:shd w:val="clear" w:color="auto" w:fill="auto"/>
                  <w:vAlign w:val="center"/>
                  <w:hideMark/>
                </w:tcPr>
                <w:p w14:paraId="0FD63761" w14:textId="2DE9304D"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(31 273)</w:t>
                  </w:r>
                </w:p>
              </w:tc>
            </w:tr>
            <w:tr w:rsidR="00553801" w:rsidRPr="00291889" w14:paraId="6EFC6FCE" w14:textId="77777777" w:rsidTr="000B7985">
              <w:trPr>
                <w:trHeight w:val="403"/>
              </w:trPr>
              <w:tc>
                <w:tcPr>
                  <w:tcW w:w="2113" w:type="dxa"/>
                  <w:tcBorders>
                    <w:top w:val="nil"/>
                    <w:left w:val="nil"/>
                    <w:bottom w:val="nil"/>
                    <w:right w:val="nil"/>
                  </w:tcBorders>
                  <w:shd w:val="clear" w:color="auto" w:fill="auto"/>
                  <w:vAlign w:val="center"/>
                  <w:hideMark/>
                </w:tcPr>
                <w:p w14:paraId="1F4DE74F"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Koszty ogólnego zarządu</w:t>
                  </w:r>
                </w:p>
              </w:tc>
              <w:tc>
                <w:tcPr>
                  <w:tcW w:w="1038" w:type="dxa"/>
                  <w:tcBorders>
                    <w:top w:val="nil"/>
                    <w:left w:val="nil"/>
                    <w:bottom w:val="single" w:sz="8" w:space="0" w:color="auto"/>
                    <w:right w:val="nil"/>
                  </w:tcBorders>
                  <w:shd w:val="clear" w:color="auto" w:fill="auto"/>
                  <w:vAlign w:val="center"/>
                  <w:hideMark/>
                </w:tcPr>
                <w:p w14:paraId="0AAF7B79" w14:textId="65EEC19A"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(232 885)</w:t>
                  </w:r>
                </w:p>
              </w:tc>
              <w:tc>
                <w:tcPr>
                  <w:tcW w:w="865" w:type="dxa"/>
                  <w:tcBorders>
                    <w:top w:val="nil"/>
                    <w:left w:val="nil"/>
                    <w:bottom w:val="single" w:sz="8" w:space="0" w:color="auto"/>
                    <w:right w:val="nil"/>
                  </w:tcBorders>
                  <w:shd w:val="clear" w:color="auto" w:fill="auto"/>
                  <w:vAlign w:val="center"/>
                  <w:hideMark/>
                </w:tcPr>
                <w:p w14:paraId="09208629" w14:textId="138623AA"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(29 772)</w:t>
                  </w:r>
                </w:p>
              </w:tc>
              <w:tc>
                <w:tcPr>
                  <w:tcW w:w="865" w:type="dxa"/>
                  <w:tcBorders>
                    <w:top w:val="nil"/>
                    <w:left w:val="nil"/>
                    <w:bottom w:val="single" w:sz="8" w:space="0" w:color="auto"/>
                    <w:right w:val="nil"/>
                  </w:tcBorders>
                  <w:shd w:val="clear" w:color="auto" w:fill="auto"/>
                  <w:vAlign w:val="center"/>
                  <w:hideMark/>
                </w:tcPr>
                <w:p w14:paraId="3FC78506" w14:textId="1C12E7C2"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(33 075)</w:t>
                  </w:r>
                </w:p>
              </w:tc>
              <w:tc>
                <w:tcPr>
                  <w:tcW w:w="974" w:type="dxa"/>
                  <w:tcBorders>
                    <w:top w:val="nil"/>
                    <w:left w:val="nil"/>
                    <w:bottom w:val="single" w:sz="8" w:space="0" w:color="auto"/>
                    <w:right w:val="nil"/>
                  </w:tcBorders>
                  <w:shd w:val="clear" w:color="auto" w:fill="auto"/>
                  <w:vAlign w:val="center"/>
                  <w:hideMark/>
                </w:tcPr>
                <w:p w14:paraId="6446FE82" w14:textId="1C51BD65"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18 766</w:t>
                  </w:r>
                </w:p>
              </w:tc>
              <w:tc>
                <w:tcPr>
                  <w:tcW w:w="992" w:type="dxa"/>
                  <w:tcBorders>
                    <w:top w:val="nil"/>
                    <w:left w:val="nil"/>
                    <w:bottom w:val="single" w:sz="8" w:space="0" w:color="auto"/>
                    <w:right w:val="nil"/>
                  </w:tcBorders>
                  <w:shd w:val="clear" w:color="auto" w:fill="auto"/>
                  <w:vAlign w:val="center"/>
                  <w:hideMark/>
                </w:tcPr>
                <w:p w14:paraId="129EBE6F" w14:textId="06DB7CD9"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(276 966)</w:t>
                  </w:r>
                </w:p>
              </w:tc>
            </w:tr>
            <w:tr w:rsidR="00553801" w:rsidRPr="00291889" w14:paraId="22379599" w14:textId="77777777" w:rsidTr="000B7985">
              <w:trPr>
                <w:trHeight w:val="279"/>
              </w:trPr>
              <w:tc>
                <w:tcPr>
                  <w:tcW w:w="2113" w:type="dxa"/>
                  <w:tcBorders>
                    <w:top w:val="nil"/>
                    <w:left w:val="nil"/>
                    <w:bottom w:val="nil"/>
                    <w:right w:val="nil"/>
                  </w:tcBorders>
                  <w:shd w:val="clear" w:color="auto" w:fill="auto"/>
                  <w:vAlign w:val="center"/>
                  <w:hideMark/>
                </w:tcPr>
                <w:p w14:paraId="655A169D" w14:textId="2D514A4E"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w:t>
                  </w:r>
                  <w:r w:rsidR="005F1CF1">
                    <w:rPr>
                      <w:rFonts w:ascii="Tahoma" w:eastAsia="Times New Roman" w:hAnsi="Tahoma" w:cs="Tahoma"/>
                      <w:color w:val="7F7F7F" w:themeColor="text1" w:themeTint="80"/>
                      <w:sz w:val="16"/>
                      <w:szCs w:val="16"/>
                    </w:rPr>
                    <w:t xml:space="preserve"> </w:t>
                  </w:r>
                  <w:r w:rsidRPr="00291889">
                    <w:rPr>
                      <w:rFonts w:ascii="Tahoma" w:eastAsia="Times New Roman" w:hAnsi="Tahoma" w:cs="Tahoma"/>
                      <w:color w:val="7F7F7F" w:themeColor="text1" w:themeTint="80"/>
                      <w:sz w:val="16"/>
                      <w:szCs w:val="16"/>
                    </w:rPr>
                    <w:t>z działalności operacyjnej</w:t>
                  </w:r>
                </w:p>
              </w:tc>
              <w:tc>
                <w:tcPr>
                  <w:tcW w:w="1038" w:type="dxa"/>
                  <w:tcBorders>
                    <w:top w:val="nil"/>
                    <w:left w:val="nil"/>
                    <w:bottom w:val="single" w:sz="8" w:space="0" w:color="auto"/>
                    <w:right w:val="nil"/>
                  </w:tcBorders>
                  <w:shd w:val="clear" w:color="auto" w:fill="auto"/>
                  <w:vAlign w:val="center"/>
                  <w:hideMark/>
                </w:tcPr>
                <w:p w14:paraId="4C226AB6" w14:textId="6203992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387 535</w:t>
                  </w:r>
                </w:p>
              </w:tc>
              <w:tc>
                <w:tcPr>
                  <w:tcW w:w="865" w:type="dxa"/>
                  <w:tcBorders>
                    <w:top w:val="nil"/>
                    <w:left w:val="nil"/>
                    <w:bottom w:val="single" w:sz="8" w:space="0" w:color="auto"/>
                    <w:right w:val="nil"/>
                  </w:tcBorders>
                  <w:shd w:val="clear" w:color="auto" w:fill="auto"/>
                  <w:vAlign w:val="center"/>
                  <w:hideMark/>
                </w:tcPr>
                <w:p w14:paraId="5F64B49D" w14:textId="3F17595D"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191 139</w:t>
                  </w:r>
                </w:p>
              </w:tc>
              <w:tc>
                <w:tcPr>
                  <w:tcW w:w="865" w:type="dxa"/>
                  <w:tcBorders>
                    <w:top w:val="nil"/>
                    <w:left w:val="nil"/>
                    <w:bottom w:val="single" w:sz="8" w:space="0" w:color="auto"/>
                    <w:right w:val="nil"/>
                  </w:tcBorders>
                  <w:shd w:val="clear" w:color="auto" w:fill="auto"/>
                  <w:vAlign w:val="center"/>
                  <w:hideMark/>
                </w:tcPr>
                <w:p w14:paraId="3571C579" w14:textId="7DCC29B6"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78 629</w:t>
                  </w:r>
                </w:p>
              </w:tc>
              <w:tc>
                <w:tcPr>
                  <w:tcW w:w="974" w:type="dxa"/>
                  <w:tcBorders>
                    <w:top w:val="nil"/>
                    <w:left w:val="nil"/>
                    <w:bottom w:val="single" w:sz="8" w:space="0" w:color="auto"/>
                    <w:right w:val="nil"/>
                  </w:tcBorders>
                  <w:shd w:val="clear" w:color="auto" w:fill="auto"/>
                  <w:vAlign w:val="center"/>
                  <w:hideMark/>
                </w:tcPr>
                <w:p w14:paraId="68B19603" w14:textId="1C691EA9"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(18 731)</w:t>
                  </w:r>
                </w:p>
              </w:tc>
              <w:tc>
                <w:tcPr>
                  <w:tcW w:w="992" w:type="dxa"/>
                  <w:tcBorders>
                    <w:top w:val="nil"/>
                    <w:left w:val="nil"/>
                    <w:bottom w:val="single" w:sz="8" w:space="0" w:color="auto"/>
                    <w:right w:val="nil"/>
                  </w:tcBorders>
                  <w:shd w:val="clear" w:color="auto" w:fill="auto"/>
                  <w:vAlign w:val="center"/>
                  <w:hideMark/>
                </w:tcPr>
                <w:p w14:paraId="7FD4CFDF" w14:textId="07C9F078"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638 572</w:t>
                  </w:r>
                </w:p>
              </w:tc>
            </w:tr>
            <w:tr w:rsidR="00553801" w:rsidRPr="00291889" w14:paraId="04C87E3B" w14:textId="77777777" w:rsidTr="000B7985">
              <w:trPr>
                <w:trHeight w:val="279"/>
              </w:trPr>
              <w:tc>
                <w:tcPr>
                  <w:tcW w:w="2113" w:type="dxa"/>
                  <w:tcBorders>
                    <w:top w:val="nil"/>
                    <w:left w:val="nil"/>
                    <w:bottom w:val="nil"/>
                    <w:right w:val="nil"/>
                  </w:tcBorders>
                  <w:shd w:val="clear" w:color="auto" w:fill="auto"/>
                  <w:vAlign w:val="center"/>
                  <w:hideMark/>
                </w:tcPr>
                <w:p w14:paraId="4972E486" w14:textId="691AF279"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 brutto</w:t>
                  </w:r>
                </w:p>
              </w:tc>
              <w:tc>
                <w:tcPr>
                  <w:tcW w:w="1038" w:type="dxa"/>
                  <w:tcBorders>
                    <w:top w:val="nil"/>
                    <w:left w:val="nil"/>
                    <w:bottom w:val="nil"/>
                    <w:right w:val="nil"/>
                  </w:tcBorders>
                  <w:shd w:val="clear" w:color="auto" w:fill="auto"/>
                  <w:vAlign w:val="center"/>
                  <w:hideMark/>
                </w:tcPr>
                <w:p w14:paraId="57B5CFA1" w14:textId="49D505B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372 407</w:t>
                  </w:r>
                </w:p>
              </w:tc>
              <w:tc>
                <w:tcPr>
                  <w:tcW w:w="865" w:type="dxa"/>
                  <w:tcBorders>
                    <w:top w:val="nil"/>
                    <w:left w:val="nil"/>
                    <w:bottom w:val="nil"/>
                    <w:right w:val="nil"/>
                  </w:tcBorders>
                  <w:shd w:val="clear" w:color="auto" w:fill="auto"/>
                  <w:vAlign w:val="center"/>
                  <w:hideMark/>
                </w:tcPr>
                <w:p w14:paraId="74EB435A" w14:textId="0C491DB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194 981</w:t>
                  </w:r>
                </w:p>
              </w:tc>
              <w:tc>
                <w:tcPr>
                  <w:tcW w:w="865" w:type="dxa"/>
                  <w:tcBorders>
                    <w:top w:val="nil"/>
                    <w:left w:val="nil"/>
                    <w:bottom w:val="nil"/>
                    <w:right w:val="nil"/>
                  </w:tcBorders>
                  <w:shd w:val="clear" w:color="auto" w:fill="auto"/>
                  <w:vAlign w:val="center"/>
                  <w:hideMark/>
                </w:tcPr>
                <w:p w14:paraId="0083DB2B" w14:textId="6C04CB7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73 031</w:t>
                  </w:r>
                </w:p>
              </w:tc>
              <w:tc>
                <w:tcPr>
                  <w:tcW w:w="974" w:type="dxa"/>
                  <w:tcBorders>
                    <w:top w:val="nil"/>
                    <w:left w:val="nil"/>
                    <w:bottom w:val="nil"/>
                    <w:right w:val="nil"/>
                  </w:tcBorders>
                  <w:shd w:val="clear" w:color="auto" w:fill="auto"/>
                  <w:vAlign w:val="center"/>
                  <w:hideMark/>
                </w:tcPr>
                <w:p w14:paraId="5D7BC3AE" w14:textId="0EFE8EF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(18 379)</w:t>
                  </w:r>
                </w:p>
              </w:tc>
              <w:tc>
                <w:tcPr>
                  <w:tcW w:w="992" w:type="dxa"/>
                  <w:tcBorders>
                    <w:top w:val="nil"/>
                    <w:left w:val="nil"/>
                    <w:bottom w:val="nil"/>
                    <w:right w:val="nil"/>
                  </w:tcBorders>
                  <w:shd w:val="clear" w:color="auto" w:fill="auto"/>
                  <w:vAlign w:val="center"/>
                  <w:hideMark/>
                </w:tcPr>
                <w:p w14:paraId="700ED9DA" w14:textId="56BF6196"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622 040</w:t>
                  </w:r>
                </w:p>
              </w:tc>
            </w:tr>
            <w:tr w:rsidR="00553801" w:rsidRPr="00291889" w14:paraId="1C651950" w14:textId="77777777" w:rsidTr="000B7985">
              <w:trPr>
                <w:trHeight w:val="279"/>
              </w:trPr>
              <w:tc>
                <w:tcPr>
                  <w:tcW w:w="2113" w:type="dxa"/>
                  <w:tcBorders>
                    <w:top w:val="nil"/>
                    <w:left w:val="nil"/>
                    <w:bottom w:val="nil"/>
                    <w:right w:val="nil"/>
                  </w:tcBorders>
                  <w:shd w:val="clear" w:color="auto" w:fill="auto"/>
                  <w:vAlign w:val="center"/>
                  <w:hideMark/>
                </w:tcPr>
                <w:p w14:paraId="1A9F3EA1" w14:textId="070F98C1"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w:t>
                  </w:r>
                  <w:r w:rsidR="005F1CF1">
                    <w:rPr>
                      <w:rFonts w:ascii="Tahoma" w:eastAsia="Times New Roman" w:hAnsi="Tahoma" w:cs="Tahoma"/>
                      <w:color w:val="7F7F7F" w:themeColor="text1" w:themeTint="80"/>
                      <w:sz w:val="16"/>
                      <w:szCs w:val="16"/>
                    </w:rPr>
                    <w:t xml:space="preserve"> </w:t>
                  </w:r>
                  <w:r w:rsidRPr="00291889">
                    <w:rPr>
                      <w:rFonts w:ascii="Tahoma" w:eastAsia="Times New Roman" w:hAnsi="Tahoma" w:cs="Tahoma"/>
                      <w:color w:val="7F7F7F" w:themeColor="text1" w:themeTint="80"/>
                      <w:sz w:val="16"/>
                      <w:szCs w:val="16"/>
                    </w:rPr>
                    <w:t xml:space="preserve">netto </w:t>
                  </w:r>
                </w:p>
              </w:tc>
              <w:tc>
                <w:tcPr>
                  <w:tcW w:w="1038" w:type="dxa"/>
                  <w:tcBorders>
                    <w:top w:val="single" w:sz="8" w:space="0" w:color="auto"/>
                    <w:left w:val="nil"/>
                    <w:bottom w:val="single" w:sz="8" w:space="0" w:color="auto"/>
                    <w:right w:val="nil"/>
                  </w:tcBorders>
                  <w:shd w:val="clear" w:color="auto" w:fill="auto"/>
                  <w:vAlign w:val="center"/>
                  <w:hideMark/>
                </w:tcPr>
                <w:p w14:paraId="6A326BDF" w14:textId="7C63CEB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270 162</w:t>
                  </w:r>
                </w:p>
              </w:tc>
              <w:tc>
                <w:tcPr>
                  <w:tcW w:w="865" w:type="dxa"/>
                  <w:tcBorders>
                    <w:top w:val="single" w:sz="8" w:space="0" w:color="auto"/>
                    <w:left w:val="nil"/>
                    <w:bottom w:val="single" w:sz="8" w:space="0" w:color="auto"/>
                    <w:right w:val="nil"/>
                  </w:tcBorders>
                  <w:shd w:val="clear" w:color="auto" w:fill="auto"/>
                  <w:vAlign w:val="center"/>
                  <w:hideMark/>
                </w:tcPr>
                <w:p w14:paraId="2B612B7F" w14:textId="1BFF5CCA"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157 698</w:t>
                  </w:r>
                </w:p>
              </w:tc>
              <w:tc>
                <w:tcPr>
                  <w:tcW w:w="865" w:type="dxa"/>
                  <w:tcBorders>
                    <w:top w:val="single" w:sz="8" w:space="0" w:color="auto"/>
                    <w:left w:val="nil"/>
                    <w:bottom w:val="single" w:sz="8" w:space="0" w:color="auto"/>
                    <w:right w:val="nil"/>
                  </w:tcBorders>
                  <w:shd w:val="clear" w:color="auto" w:fill="auto"/>
                  <w:vAlign w:val="center"/>
                  <w:hideMark/>
                </w:tcPr>
                <w:p w14:paraId="49CE66AD" w14:textId="2E977E56"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58 424</w:t>
                  </w:r>
                </w:p>
              </w:tc>
              <w:tc>
                <w:tcPr>
                  <w:tcW w:w="974" w:type="dxa"/>
                  <w:tcBorders>
                    <w:top w:val="single" w:sz="8" w:space="0" w:color="auto"/>
                    <w:left w:val="nil"/>
                    <w:bottom w:val="single" w:sz="8" w:space="0" w:color="auto"/>
                    <w:right w:val="nil"/>
                  </w:tcBorders>
                  <w:shd w:val="clear" w:color="auto" w:fill="auto"/>
                  <w:vAlign w:val="center"/>
                  <w:hideMark/>
                </w:tcPr>
                <w:p w14:paraId="0E45D5E4" w14:textId="04D671A0"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(14 890)</w:t>
                  </w:r>
                </w:p>
              </w:tc>
              <w:tc>
                <w:tcPr>
                  <w:tcW w:w="992" w:type="dxa"/>
                  <w:tcBorders>
                    <w:top w:val="single" w:sz="8" w:space="0" w:color="auto"/>
                    <w:left w:val="nil"/>
                    <w:bottom w:val="single" w:sz="8" w:space="0" w:color="auto"/>
                    <w:right w:val="nil"/>
                  </w:tcBorders>
                  <w:shd w:val="clear" w:color="auto" w:fill="auto"/>
                  <w:vAlign w:val="center"/>
                  <w:hideMark/>
                </w:tcPr>
                <w:p w14:paraId="282B338B" w14:textId="589C98D6"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471 394</w:t>
                  </w:r>
                </w:p>
              </w:tc>
            </w:tr>
            <w:tr w:rsidR="00553801" w:rsidRPr="00291889" w14:paraId="386D4D97" w14:textId="77777777" w:rsidTr="000B7985">
              <w:trPr>
                <w:trHeight w:val="468"/>
              </w:trPr>
              <w:tc>
                <w:tcPr>
                  <w:tcW w:w="2113" w:type="dxa"/>
                  <w:tcBorders>
                    <w:top w:val="nil"/>
                    <w:left w:val="nil"/>
                    <w:bottom w:val="nil"/>
                    <w:right w:val="nil"/>
                  </w:tcBorders>
                  <w:shd w:val="clear" w:color="auto" w:fill="auto"/>
                  <w:vAlign w:val="center"/>
                  <w:hideMark/>
                </w:tcPr>
                <w:p w14:paraId="6D88E648" w14:textId="0AA033C5"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 przypadający akcjonariuszom Jednostki Dominującej</w:t>
                  </w:r>
                </w:p>
              </w:tc>
              <w:tc>
                <w:tcPr>
                  <w:tcW w:w="1038" w:type="dxa"/>
                  <w:tcBorders>
                    <w:top w:val="nil"/>
                    <w:left w:val="nil"/>
                    <w:bottom w:val="single" w:sz="8" w:space="0" w:color="auto"/>
                    <w:right w:val="nil"/>
                  </w:tcBorders>
                  <w:shd w:val="clear" w:color="auto" w:fill="auto"/>
                  <w:vAlign w:val="center"/>
                  <w:hideMark/>
                </w:tcPr>
                <w:p w14:paraId="37F7384A" w14:textId="3EEEC0D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270 162</w:t>
                  </w:r>
                </w:p>
              </w:tc>
              <w:tc>
                <w:tcPr>
                  <w:tcW w:w="865" w:type="dxa"/>
                  <w:tcBorders>
                    <w:top w:val="nil"/>
                    <w:left w:val="nil"/>
                    <w:bottom w:val="single" w:sz="8" w:space="0" w:color="auto"/>
                    <w:right w:val="nil"/>
                  </w:tcBorders>
                  <w:shd w:val="clear" w:color="auto" w:fill="auto"/>
                  <w:vAlign w:val="center"/>
                  <w:hideMark/>
                </w:tcPr>
                <w:p w14:paraId="22374A86" w14:textId="6869D63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157 698</w:t>
                  </w:r>
                </w:p>
              </w:tc>
              <w:tc>
                <w:tcPr>
                  <w:tcW w:w="865" w:type="dxa"/>
                  <w:tcBorders>
                    <w:top w:val="nil"/>
                    <w:left w:val="nil"/>
                    <w:bottom w:val="single" w:sz="8" w:space="0" w:color="auto"/>
                    <w:right w:val="nil"/>
                  </w:tcBorders>
                  <w:shd w:val="clear" w:color="auto" w:fill="auto"/>
                  <w:vAlign w:val="center"/>
                  <w:hideMark/>
                </w:tcPr>
                <w:p w14:paraId="3E32AFC7" w14:textId="3F4D014F"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46 495</w:t>
                  </w:r>
                </w:p>
              </w:tc>
              <w:tc>
                <w:tcPr>
                  <w:tcW w:w="974" w:type="dxa"/>
                  <w:tcBorders>
                    <w:top w:val="nil"/>
                    <w:left w:val="nil"/>
                    <w:bottom w:val="single" w:sz="8" w:space="0" w:color="auto"/>
                    <w:right w:val="nil"/>
                  </w:tcBorders>
                  <w:shd w:val="clear" w:color="auto" w:fill="auto"/>
                  <w:vAlign w:val="center"/>
                  <w:hideMark/>
                </w:tcPr>
                <w:p w14:paraId="398E2881" w14:textId="0838060D"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(14 890)</w:t>
                  </w:r>
                </w:p>
              </w:tc>
              <w:tc>
                <w:tcPr>
                  <w:tcW w:w="992" w:type="dxa"/>
                  <w:tcBorders>
                    <w:top w:val="nil"/>
                    <w:left w:val="nil"/>
                    <w:bottom w:val="single" w:sz="8" w:space="0" w:color="auto"/>
                    <w:right w:val="nil"/>
                  </w:tcBorders>
                  <w:shd w:val="clear" w:color="auto" w:fill="auto"/>
                  <w:vAlign w:val="center"/>
                  <w:hideMark/>
                </w:tcPr>
                <w:p w14:paraId="1DB4B415" w14:textId="684CC5BC"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459 465</w:t>
                  </w:r>
                </w:p>
              </w:tc>
            </w:tr>
          </w:tbl>
          <w:p w14:paraId="03B7FD40" w14:textId="77777777" w:rsidR="00D824D3" w:rsidRPr="00775CAB" w:rsidRDefault="00D824D3">
            <w:pPr>
              <w:spacing w:line="360" w:lineRule="auto"/>
              <w:ind w:right="1"/>
              <w:jc w:val="both"/>
              <w:rPr>
                <w:rFonts w:ascii="Tahoma" w:eastAsia="Tahoma" w:hAnsi="Tahoma" w:cs="Tahoma"/>
                <w:bCs/>
                <w:color w:val="808080"/>
                <w:sz w:val="18"/>
                <w:szCs w:val="18"/>
              </w:rPr>
            </w:pPr>
          </w:p>
          <w:p w14:paraId="67191B18" w14:textId="77777777" w:rsidR="00AF4889" w:rsidRDefault="00AF4889" w:rsidP="00291889">
            <w:pPr>
              <w:autoSpaceDE w:val="0"/>
              <w:autoSpaceDN w:val="0"/>
              <w:adjustRightInd w:val="0"/>
              <w:jc w:val="both"/>
              <w:rPr>
                <w:rFonts w:ascii="Tahoma" w:hAnsi="Tahoma" w:cs="Tahoma"/>
                <w:b/>
                <w:bCs/>
                <w:color w:val="7F7F7F" w:themeColor="text1" w:themeTint="80"/>
                <w:sz w:val="18"/>
                <w:szCs w:val="18"/>
                <w:u w:val="single"/>
                <w:lang w:eastAsia="en-US"/>
              </w:rPr>
            </w:pPr>
          </w:p>
          <w:p w14:paraId="05C32D8D" w14:textId="77777777" w:rsidR="00AF4889" w:rsidRDefault="00AF4889" w:rsidP="00291889">
            <w:pPr>
              <w:autoSpaceDE w:val="0"/>
              <w:autoSpaceDN w:val="0"/>
              <w:adjustRightInd w:val="0"/>
              <w:jc w:val="both"/>
              <w:rPr>
                <w:rFonts w:ascii="Tahoma" w:hAnsi="Tahoma" w:cs="Tahoma"/>
                <w:b/>
                <w:bCs/>
                <w:color w:val="7F7F7F" w:themeColor="text1" w:themeTint="80"/>
                <w:sz w:val="18"/>
                <w:szCs w:val="18"/>
                <w:u w:val="single"/>
                <w:lang w:eastAsia="en-US"/>
              </w:rPr>
            </w:pPr>
          </w:p>
          <w:p w14:paraId="2CBA4534" w14:textId="77777777" w:rsidR="00AF4889" w:rsidRDefault="00AF4889" w:rsidP="00291889">
            <w:pPr>
              <w:autoSpaceDE w:val="0"/>
              <w:autoSpaceDN w:val="0"/>
              <w:adjustRightInd w:val="0"/>
              <w:jc w:val="both"/>
              <w:rPr>
                <w:rFonts w:ascii="Tahoma" w:hAnsi="Tahoma" w:cs="Tahoma"/>
                <w:b/>
                <w:bCs/>
                <w:color w:val="7F7F7F" w:themeColor="text1" w:themeTint="80"/>
                <w:sz w:val="18"/>
                <w:szCs w:val="18"/>
                <w:u w:val="single"/>
                <w:lang w:eastAsia="en-US"/>
              </w:rPr>
            </w:pPr>
          </w:p>
          <w:p w14:paraId="6D74FEDD" w14:textId="2BB7295B" w:rsidR="00291889" w:rsidRPr="00291889" w:rsidRDefault="00291889" w:rsidP="00291889">
            <w:pPr>
              <w:autoSpaceDE w:val="0"/>
              <w:autoSpaceDN w:val="0"/>
              <w:adjustRightInd w:val="0"/>
              <w:jc w:val="both"/>
              <w:rPr>
                <w:rFonts w:ascii="Tahoma" w:hAnsi="Tahoma" w:cs="Tahoma"/>
                <w:b/>
                <w:bCs/>
                <w:color w:val="7F7F7F" w:themeColor="text1" w:themeTint="80"/>
                <w:sz w:val="18"/>
                <w:szCs w:val="18"/>
                <w:u w:val="single"/>
                <w:lang w:eastAsia="en-US"/>
              </w:rPr>
            </w:pPr>
            <w:r w:rsidRPr="00291889">
              <w:rPr>
                <w:rFonts w:ascii="Tahoma" w:hAnsi="Tahoma" w:cs="Tahoma"/>
                <w:b/>
                <w:bCs/>
                <w:color w:val="7F7F7F" w:themeColor="text1" w:themeTint="80"/>
                <w:sz w:val="18"/>
                <w:szCs w:val="18"/>
                <w:u w:val="single"/>
                <w:lang w:eastAsia="en-US"/>
              </w:rPr>
              <w:t xml:space="preserve">Wyniki segmentów sprawozdawczych za rok 2019 </w:t>
            </w:r>
            <w:r w:rsidRPr="000B7985">
              <w:rPr>
                <w:rFonts w:ascii="Tahoma" w:hAnsi="Tahoma" w:cs="Tahoma"/>
                <w:bCs/>
                <w:color w:val="7F7F7F" w:themeColor="text1" w:themeTint="80"/>
                <w:sz w:val="18"/>
                <w:szCs w:val="18"/>
                <w:u w:val="single"/>
                <w:lang w:eastAsia="en-US"/>
              </w:rPr>
              <w:t xml:space="preserve">(w tysiącach złotych): </w:t>
            </w:r>
          </w:p>
          <w:p w14:paraId="3FD09A70" w14:textId="77777777" w:rsidR="00291889" w:rsidRPr="00291889" w:rsidRDefault="00291889" w:rsidP="00291889">
            <w:pPr>
              <w:autoSpaceDE w:val="0"/>
              <w:autoSpaceDN w:val="0"/>
              <w:adjustRightInd w:val="0"/>
              <w:jc w:val="both"/>
              <w:rPr>
                <w:rFonts w:ascii="Tahoma" w:hAnsi="Tahoma" w:cs="Tahoma"/>
                <w:b/>
                <w:color w:val="7F7F7F" w:themeColor="text1" w:themeTint="80"/>
                <w:sz w:val="20"/>
                <w:szCs w:val="20"/>
                <w:u w:val="single"/>
                <w:lang w:eastAsia="en-US"/>
              </w:rPr>
            </w:pPr>
          </w:p>
          <w:p w14:paraId="3C624C5C" w14:textId="77777777" w:rsidR="00291889" w:rsidRPr="00291889" w:rsidRDefault="00291889" w:rsidP="00291889">
            <w:pPr>
              <w:autoSpaceDE w:val="0"/>
              <w:autoSpaceDN w:val="0"/>
              <w:adjustRightInd w:val="0"/>
              <w:jc w:val="both"/>
              <w:rPr>
                <w:rFonts w:ascii="Tahoma" w:hAnsi="Tahoma" w:cs="Tahoma"/>
                <w:b/>
                <w:color w:val="404040"/>
                <w:u w:val="single"/>
                <w:lang w:eastAsia="en-US"/>
              </w:rPr>
            </w:pPr>
          </w:p>
          <w:tbl>
            <w:tblPr>
              <w:tblW w:w="6854" w:type="dxa"/>
              <w:tblLayout w:type="fixed"/>
              <w:tblCellMar>
                <w:left w:w="70" w:type="dxa"/>
                <w:right w:w="70" w:type="dxa"/>
              </w:tblCellMar>
              <w:tblLook w:val="04A0" w:firstRow="1" w:lastRow="0" w:firstColumn="1" w:lastColumn="0" w:noHBand="0" w:noVBand="1"/>
            </w:tblPr>
            <w:tblGrid>
              <w:gridCol w:w="2095"/>
              <w:gridCol w:w="981"/>
              <w:gridCol w:w="855"/>
              <w:gridCol w:w="851"/>
              <w:gridCol w:w="938"/>
              <w:gridCol w:w="1134"/>
            </w:tblGrid>
            <w:tr w:rsidR="00553801" w:rsidRPr="00291889" w14:paraId="7FE23D92" w14:textId="77777777" w:rsidTr="000B7985">
              <w:trPr>
                <w:trHeight w:val="445"/>
              </w:trPr>
              <w:tc>
                <w:tcPr>
                  <w:tcW w:w="2095" w:type="dxa"/>
                  <w:tcBorders>
                    <w:top w:val="nil"/>
                    <w:left w:val="nil"/>
                    <w:bottom w:val="nil"/>
                    <w:right w:val="nil"/>
                  </w:tcBorders>
                  <w:shd w:val="clear" w:color="auto" w:fill="auto"/>
                  <w:vAlign w:val="center"/>
                  <w:hideMark/>
                </w:tcPr>
                <w:p w14:paraId="22184ACD" w14:textId="77777777" w:rsidR="00553801" w:rsidRPr="00291889" w:rsidRDefault="00553801" w:rsidP="00553801">
                  <w:pPr>
                    <w:spacing w:after="0" w:line="240" w:lineRule="auto"/>
                    <w:rPr>
                      <w:rFonts w:ascii="Times New Roman" w:eastAsia="Times New Roman" w:hAnsi="Times New Roman" w:cs="Times New Roman"/>
                      <w:color w:val="7F7F7F" w:themeColor="text1" w:themeTint="80"/>
                      <w:sz w:val="24"/>
                      <w:szCs w:val="24"/>
                    </w:rPr>
                  </w:pPr>
                </w:p>
              </w:tc>
              <w:tc>
                <w:tcPr>
                  <w:tcW w:w="981" w:type="dxa"/>
                  <w:tcBorders>
                    <w:top w:val="single" w:sz="8" w:space="0" w:color="auto"/>
                    <w:left w:val="nil"/>
                    <w:bottom w:val="single" w:sz="8" w:space="0" w:color="auto"/>
                    <w:right w:val="nil"/>
                  </w:tcBorders>
                  <w:shd w:val="clear" w:color="auto" w:fill="auto"/>
                  <w:vAlign w:val="center"/>
                  <w:hideMark/>
                </w:tcPr>
                <w:p w14:paraId="18FA6B19" w14:textId="20C7FB05" w:rsidR="00553801" w:rsidRPr="00291889" w:rsidRDefault="00553801" w:rsidP="00553801">
                  <w:pPr>
                    <w:spacing w:after="0" w:line="240" w:lineRule="auto"/>
                    <w:jc w:val="center"/>
                    <w:rPr>
                      <w:rFonts w:ascii="Tahoma" w:eastAsia="Times New Roman" w:hAnsi="Tahoma" w:cs="Tahoma"/>
                      <w:color w:val="7F7F7F" w:themeColor="text1" w:themeTint="80"/>
                      <w:sz w:val="16"/>
                      <w:szCs w:val="16"/>
                    </w:rPr>
                  </w:pPr>
                  <w:r w:rsidRPr="00AF4889">
                    <w:rPr>
                      <w:rFonts w:ascii="Tahoma" w:eastAsia="Times New Roman" w:hAnsi="Tahoma" w:cs="Tahoma"/>
                      <w:color w:val="7F7F7F" w:themeColor="text1" w:themeTint="80"/>
                      <w:sz w:val="14"/>
                      <w:szCs w:val="14"/>
                    </w:rPr>
                    <w:t>Segment budowlany</w:t>
                  </w:r>
                </w:p>
              </w:tc>
              <w:tc>
                <w:tcPr>
                  <w:tcW w:w="855" w:type="dxa"/>
                  <w:tcBorders>
                    <w:top w:val="single" w:sz="8" w:space="0" w:color="auto"/>
                    <w:left w:val="nil"/>
                    <w:bottom w:val="single" w:sz="8" w:space="0" w:color="auto"/>
                    <w:right w:val="nil"/>
                  </w:tcBorders>
                  <w:shd w:val="clear" w:color="auto" w:fill="auto"/>
                  <w:vAlign w:val="center"/>
                  <w:hideMark/>
                </w:tcPr>
                <w:p w14:paraId="59EB62A4" w14:textId="32F5C177" w:rsidR="00553801" w:rsidRPr="00291889" w:rsidRDefault="00553801" w:rsidP="00553801">
                  <w:pPr>
                    <w:spacing w:after="0" w:line="240" w:lineRule="auto"/>
                    <w:jc w:val="center"/>
                    <w:rPr>
                      <w:rFonts w:ascii="Tahoma" w:eastAsia="Times New Roman" w:hAnsi="Tahoma" w:cs="Tahoma"/>
                      <w:color w:val="7F7F7F" w:themeColor="text1" w:themeTint="80"/>
                      <w:sz w:val="16"/>
                      <w:szCs w:val="16"/>
                    </w:rPr>
                  </w:pPr>
                  <w:r w:rsidRPr="00AF4889">
                    <w:rPr>
                      <w:rFonts w:ascii="Tahoma" w:eastAsia="Times New Roman" w:hAnsi="Tahoma" w:cs="Tahoma"/>
                      <w:color w:val="7F7F7F" w:themeColor="text1" w:themeTint="80"/>
                      <w:sz w:val="12"/>
                      <w:szCs w:val="12"/>
                    </w:rPr>
                    <w:t>Segment deweloperski</w:t>
                  </w:r>
                </w:p>
              </w:tc>
              <w:tc>
                <w:tcPr>
                  <w:tcW w:w="851" w:type="dxa"/>
                  <w:tcBorders>
                    <w:top w:val="single" w:sz="8" w:space="0" w:color="auto"/>
                    <w:left w:val="nil"/>
                    <w:bottom w:val="single" w:sz="8" w:space="0" w:color="auto"/>
                    <w:right w:val="nil"/>
                  </w:tcBorders>
                  <w:shd w:val="clear" w:color="auto" w:fill="auto"/>
                  <w:vAlign w:val="center"/>
                  <w:hideMark/>
                </w:tcPr>
                <w:p w14:paraId="36340F23" w14:textId="190BB31F" w:rsidR="00553801" w:rsidRPr="00291889" w:rsidRDefault="00553801" w:rsidP="00553801">
                  <w:pPr>
                    <w:spacing w:after="0" w:line="240" w:lineRule="auto"/>
                    <w:jc w:val="center"/>
                    <w:rPr>
                      <w:rFonts w:ascii="Tahoma" w:eastAsia="Times New Roman" w:hAnsi="Tahoma" w:cs="Tahoma"/>
                      <w:color w:val="7F7F7F" w:themeColor="text1" w:themeTint="80"/>
                      <w:sz w:val="16"/>
                      <w:szCs w:val="16"/>
                    </w:rPr>
                  </w:pPr>
                  <w:r>
                    <w:rPr>
                      <w:rFonts w:ascii="Tahoma" w:eastAsia="Times New Roman" w:hAnsi="Tahoma" w:cs="Tahoma"/>
                      <w:color w:val="7F7F7F" w:themeColor="text1" w:themeTint="80"/>
                      <w:sz w:val="14"/>
                      <w:szCs w:val="14"/>
                    </w:rPr>
                    <w:t>Segment usług</w:t>
                  </w:r>
                </w:p>
              </w:tc>
              <w:tc>
                <w:tcPr>
                  <w:tcW w:w="938" w:type="dxa"/>
                  <w:tcBorders>
                    <w:top w:val="single" w:sz="8" w:space="0" w:color="auto"/>
                    <w:left w:val="nil"/>
                    <w:bottom w:val="single" w:sz="8" w:space="0" w:color="auto"/>
                    <w:right w:val="nil"/>
                  </w:tcBorders>
                  <w:shd w:val="clear" w:color="auto" w:fill="auto"/>
                  <w:vAlign w:val="center"/>
                  <w:hideMark/>
                </w:tcPr>
                <w:p w14:paraId="0635783A" w14:textId="70E36B46" w:rsidR="00553801" w:rsidRPr="00291889" w:rsidRDefault="00553801" w:rsidP="00553801">
                  <w:pPr>
                    <w:spacing w:after="0" w:line="240" w:lineRule="auto"/>
                    <w:jc w:val="center"/>
                    <w:rPr>
                      <w:rFonts w:ascii="Tahoma" w:eastAsia="Times New Roman" w:hAnsi="Tahoma" w:cs="Tahoma"/>
                      <w:color w:val="7F7F7F" w:themeColor="text1" w:themeTint="80"/>
                      <w:sz w:val="16"/>
                      <w:szCs w:val="16"/>
                    </w:rPr>
                  </w:pPr>
                  <w:r w:rsidRPr="00AF4889">
                    <w:rPr>
                      <w:rFonts w:ascii="Tahoma" w:eastAsia="Times New Roman" w:hAnsi="Tahoma" w:cs="Tahoma"/>
                      <w:color w:val="7F7F7F" w:themeColor="text1" w:themeTint="80"/>
                      <w:sz w:val="14"/>
                      <w:szCs w:val="14"/>
                    </w:rPr>
                    <w:t>Wyłączenia</w:t>
                  </w:r>
                </w:p>
              </w:tc>
              <w:tc>
                <w:tcPr>
                  <w:tcW w:w="1134" w:type="dxa"/>
                  <w:tcBorders>
                    <w:top w:val="single" w:sz="8" w:space="0" w:color="auto"/>
                    <w:left w:val="nil"/>
                    <w:bottom w:val="single" w:sz="8" w:space="0" w:color="auto"/>
                    <w:right w:val="nil"/>
                  </w:tcBorders>
                  <w:shd w:val="clear" w:color="auto" w:fill="auto"/>
                  <w:vAlign w:val="center"/>
                  <w:hideMark/>
                </w:tcPr>
                <w:p w14:paraId="4C51F9A0" w14:textId="5F97536A" w:rsidR="00553801" w:rsidRPr="00291889" w:rsidRDefault="00553801" w:rsidP="00553801">
                  <w:pPr>
                    <w:spacing w:after="0" w:line="240" w:lineRule="auto"/>
                    <w:jc w:val="center"/>
                    <w:rPr>
                      <w:rFonts w:ascii="Tahoma" w:eastAsia="Times New Roman" w:hAnsi="Tahoma" w:cs="Tahoma"/>
                      <w:b/>
                      <w:bCs/>
                      <w:color w:val="7F7F7F" w:themeColor="text1" w:themeTint="80"/>
                      <w:sz w:val="16"/>
                      <w:szCs w:val="16"/>
                    </w:rPr>
                  </w:pPr>
                  <w:r w:rsidRPr="00AF4889">
                    <w:rPr>
                      <w:rFonts w:ascii="Tahoma" w:eastAsia="Times New Roman" w:hAnsi="Tahoma" w:cs="Tahoma"/>
                      <w:b/>
                      <w:bCs/>
                      <w:color w:val="7F7F7F" w:themeColor="text1" w:themeTint="80"/>
                      <w:sz w:val="10"/>
                      <w:szCs w:val="10"/>
                    </w:rPr>
                    <w:t xml:space="preserve">Dane skonsolidowane </w:t>
                  </w:r>
                </w:p>
              </w:tc>
            </w:tr>
            <w:tr w:rsidR="00553801" w:rsidRPr="00291889" w14:paraId="36023C2B" w14:textId="77777777" w:rsidTr="000B7985">
              <w:trPr>
                <w:trHeight w:val="299"/>
              </w:trPr>
              <w:tc>
                <w:tcPr>
                  <w:tcW w:w="2095" w:type="dxa"/>
                  <w:tcBorders>
                    <w:top w:val="nil"/>
                    <w:left w:val="nil"/>
                    <w:bottom w:val="nil"/>
                    <w:right w:val="nil"/>
                  </w:tcBorders>
                  <w:shd w:val="clear" w:color="auto" w:fill="auto"/>
                  <w:vAlign w:val="center"/>
                  <w:hideMark/>
                </w:tcPr>
                <w:p w14:paraId="25611110"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Przychody netto ze sprzedaży  produktów, towarów i materiałów</w:t>
                  </w:r>
                </w:p>
              </w:tc>
              <w:tc>
                <w:tcPr>
                  <w:tcW w:w="981" w:type="dxa"/>
                  <w:tcBorders>
                    <w:top w:val="nil"/>
                    <w:left w:val="nil"/>
                    <w:bottom w:val="single" w:sz="8" w:space="0" w:color="auto"/>
                    <w:right w:val="nil"/>
                  </w:tcBorders>
                  <w:shd w:val="clear" w:color="auto" w:fill="auto"/>
                  <w:vAlign w:val="center"/>
                  <w:hideMark/>
                </w:tcPr>
                <w:p w14:paraId="17D85294" w14:textId="4B67F46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7 151 978</w:t>
                  </w:r>
                </w:p>
              </w:tc>
              <w:tc>
                <w:tcPr>
                  <w:tcW w:w="855" w:type="dxa"/>
                  <w:tcBorders>
                    <w:top w:val="nil"/>
                    <w:left w:val="nil"/>
                    <w:bottom w:val="single" w:sz="8" w:space="0" w:color="auto"/>
                    <w:right w:val="nil"/>
                  </w:tcBorders>
                  <w:shd w:val="clear" w:color="auto" w:fill="auto"/>
                  <w:vAlign w:val="center"/>
                  <w:hideMark/>
                </w:tcPr>
                <w:p w14:paraId="60E4C158" w14:textId="6E190184"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557 811</w:t>
                  </w:r>
                </w:p>
              </w:tc>
              <w:tc>
                <w:tcPr>
                  <w:tcW w:w="851" w:type="dxa"/>
                  <w:tcBorders>
                    <w:top w:val="nil"/>
                    <w:left w:val="nil"/>
                    <w:bottom w:val="single" w:sz="8" w:space="0" w:color="auto"/>
                    <w:right w:val="nil"/>
                  </w:tcBorders>
                  <w:shd w:val="clear" w:color="auto" w:fill="auto"/>
                  <w:vAlign w:val="center"/>
                  <w:hideMark/>
                </w:tcPr>
                <w:p w14:paraId="42DA350B" w14:textId="505C11D3"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278 281</w:t>
                  </w:r>
                </w:p>
              </w:tc>
              <w:tc>
                <w:tcPr>
                  <w:tcW w:w="938" w:type="dxa"/>
                  <w:tcBorders>
                    <w:top w:val="nil"/>
                    <w:left w:val="nil"/>
                    <w:bottom w:val="single" w:sz="8" w:space="0" w:color="auto"/>
                    <w:right w:val="nil"/>
                  </w:tcBorders>
                  <w:shd w:val="clear" w:color="auto" w:fill="auto"/>
                  <w:vAlign w:val="center"/>
                  <w:hideMark/>
                </w:tcPr>
                <w:p w14:paraId="4831CC4D" w14:textId="7724A2A4"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(418 407)</w:t>
                  </w:r>
                </w:p>
              </w:tc>
              <w:tc>
                <w:tcPr>
                  <w:tcW w:w="1134" w:type="dxa"/>
                  <w:tcBorders>
                    <w:top w:val="nil"/>
                    <w:left w:val="nil"/>
                    <w:bottom w:val="single" w:sz="8" w:space="0" w:color="auto"/>
                    <w:right w:val="nil"/>
                  </w:tcBorders>
                  <w:shd w:val="clear" w:color="auto" w:fill="auto"/>
                  <w:vAlign w:val="center"/>
                  <w:hideMark/>
                </w:tcPr>
                <w:p w14:paraId="39776FA1" w14:textId="5380695C"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7 569 663</w:t>
                  </w:r>
                </w:p>
              </w:tc>
            </w:tr>
            <w:tr w:rsidR="00553801" w:rsidRPr="00291889" w14:paraId="76FAA1C6" w14:textId="77777777" w:rsidTr="000B7985">
              <w:trPr>
                <w:trHeight w:val="265"/>
              </w:trPr>
              <w:tc>
                <w:tcPr>
                  <w:tcW w:w="2095" w:type="dxa"/>
                  <w:tcBorders>
                    <w:top w:val="nil"/>
                    <w:left w:val="nil"/>
                    <w:bottom w:val="nil"/>
                    <w:right w:val="nil"/>
                  </w:tcBorders>
                  <w:shd w:val="clear" w:color="auto" w:fill="auto"/>
                  <w:vAlign w:val="center"/>
                  <w:hideMark/>
                </w:tcPr>
                <w:p w14:paraId="0ECB1ECE"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 brutto ze sprzedaży</w:t>
                  </w:r>
                </w:p>
              </w:tc>
              <w:tc>
                <w:tcPr>
                  <w:tcW w:w="981" w:type="dxa"/>
                  <w:tcBorders>
                    <w:top w:val="nil"/>
                    <w:left w:val="nil"/>
                    <w:bottom w:val="single" w:sz="8" w:space="0" w:color="auto"/>
                    <w:right w:val="nil"/>
                  </w:tcBorders>
                  <w:shd w:val="clear" w:color="auto" w:fill="auto"/>
                  <w:vAlign w:val="center"/>
                  <w:hideMark/>
                </w:tcPr>
                <w:p w14:paraId="21698EDE" w14:textId="0056CAF6"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418 189</w:t>
                  </w:r>
                </w:p>
              </w:tc>
              <w:tc>
                <w:tcPr>
                  <w:tcW w:w="855" w:type="dxa"/>
                  <w:tcBorders>
                    <w:top w:val="nil"/>
                    <w:left w:val="nil"/>
                    <w:bottom w:val="single" w:sz="8" w:space="0" w:color="auto"/>
                    <w:right w:val="nil"/>
                  </w:tcBorders>
                  <w:shd w:val="clear" w:color="auto" w:fill="auto"/>
                  <w:vAlign w:val="center"/>
                  <w:hideMark/>
                </w:tcPr>
                <w:p w14:paraId="699A9FCE" w14:textId="1CB4FF5C"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137 115</w:t>
                  </w:r>
                </w:p>
              </w:tc>
              <w:tc>
                <w:tcPr>
                  <w:tcW w:w="851" w:type="dxa"/>
                  <w:tcBorders>
                    <w:top w:val="nil"/>
                    <w:left w:val="nil"/>
                    <w:bottom w:val="single" w:sz="8" w:space="0" w:color="auto"/>
                    <w:right w:val="nil"/>
                  </w:tcBorders>
                  <w:shd w:val="clear" w:color="auto" w:fill="auto"/>
                  <w:vAlign w:val="center"/>
                  <w:hideMark/>
                </w:tcPr>
                <w:p w14:paraId="6BF194C6" w14:textId="66B5248B"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39 303</w:t>
                  </w:r>
                </w:p>
              </w:tc>
              <w:tc>
                <w:tcPr>
                  <w:tcW w:w="938" w:type="dxa"/>
                  <w:tcBorders>
                    <w:top w:val="nil"/>
                    <w:left w:val="nil"/>
                    <w:bottom w:val="single" w:sz="8" w:space="0" w:color="auto"/>
                    <w:right w:val="nil"/>
                  </w:tcBorders>
                  <w:shd w:val="clear" w:color="auto" w:fill="auto"/>
                  <w:vAlign w:val="center"/>
                  <w:hideMark/>
                </w:tcPr>
                <w:p w14:paraId="2DE56232" w14:textId="4E47D298"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(43 055)</w:t>
                  </w:r>
                </w:p>
              </w:tc>
              <w:tc>
                <w:tcPr>
                  <w:tcW w:w="1134" w:type="dxa"/>
                  <w:tcBorders>
                    <w:top w:val="nil"/>
                    <w:left w:val="nil"/>
                    <w:bottom w:val="single" w:sz="8" w:space="0" w:color="auto"/>
                    <w:right w:val="nil"/>
                  </w:tcBorders>
                  <w:shd w:val="clear" w:color="auto" w:fill="auto"/>
                  <w:vAlign w:val="center"/>
                  <w:hideMark/>
                </w:tcPr>
                <w:p w14:paraId="53F4F227" w14:textId="3466F2DA"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551 552</w:t>
                  </w:r>
                </w:p>
              </w:tc>
            </w:tr>
            <w:tr w:rsidR="00553801" w:rsidRPr="00291889" w14:paraId="21C0DD8F" w14:textId="77777777" w:rsidTr="000B7985">
              <w:trPr>
                <w:trHeight w:val="265"/>
              </w:trPr>
              <w:tc>
                <w:tcPr>
                  <w:tcW w:w="2095" w:type="dxa"/>
                  <w:tcBorders>
                    <w:top w:val="nil"/>
                    <w:left w:val="nil"/>
                    <w:bottom w:val="nil"/>
                    <w:right w:val="nil"/>
                  </w:tcBorders>
                  <w:shd w:val="clear" w:color="auto" w:fill="auto"/>
                  <w:vAlign w:val="center"/>
                  <w:hideMark/>
                </w:tcPr>
                <w:p w14:paraId="081D2072"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Koszty sprzedaży</w:t>
                  </w:r>
                </w:p>
              </w:tc>
              <w:tc>
                <w:tcPr>
                  <w:tcW w:w="981" w:type="dxa"/>
                  <w:tcBorders>
                    <w:top w:val="nil"/>
                    <w:left w:val="nil"/>
                    <w:bottom w:val="single" w:sz="8" w:space="0" w:color="auto"/>
                    <w:right w:val="nil"/>
                  </w:tcBorders>
                  <w:shd w:val="clear" w:color="auto" w:fill="auto"/>
                  <w:vAlign w:val="center"/>
                  <w:hideMark/>
                </w:tcPr>
                <w:p w14:paraId="60725E19" w14:textId="6C7F62AB"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(10 721)</w:t>
                  </w:r>
                </w:p>
              </w:tc>
              <w:tc>
                <w:tcPr>
                  <w:tcW w:w="855" w:type="dxa"/>
                  <w:tcBorders>
                    <w:top w:val="nil"/>
                    <w:left w:val="nil"/>
                    <w:bottom w:val="single" w:sz="8" w:space="0" w:color="auto"/>
                    <w:right w:val="nil"/>
                  </w:tcBorders>
                  <w:shd w:val="clear" w:color="auto" w:fill="auto"/>
                  <w:vAlign w:val="center"/>
                  <w:hideMark/>
                </w:tcPr>
                <w:p w14:paraId="1E90D720" w14:textId="6DF9334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(19 757)</w:t>
                  </w:r>
                </w:p>
              </w:tc>
              <w:tc>
                <w:tcPr>
                  <w:tcW w:w="851" w:type="dxa"/>
                  <w:tcBorders>
                    <w:top w:val="nil"/>
                    <w:left w:val="nil"/>
                    <w:bottom w:val="single" w:sz="8" w:space="0" w:color="auto"/>
                    <w:right w:val="nil"/>
                  </w:tcBorders>
                  <w:shd w:val="clear" w:color="auto" w:fill="auto"/>
                  <w:vAlign w:val="center"/>
                  <w:hideMark/>
                </w:tcPr>
                <w:p w14:paraId="3599ABA3" w14:textId="0C31200F"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w:t>
                  </w:r>
                </w:p>
              </w:tc>
              <w:tc>
                <w:tcPr>
                  <w:tcW w:w="938" w:type="dxa"/>
                  <w:tcBorders>
                    <w:top w:val="nil"/>
                    <w:left w:val="nil"/>
                    <w:bottom w:val="single" w:sz="8" w:space="0" w:color="auto"/>
                    <w:right w:val="nil"/>
                  </w:tcBorders>
                  <w:shd w:val="clear" w:color="auto" w:fill="auto"/>
                  <w:vAlign w:val="center"/>
                  <w:hideMark/>
                </w:tcPr>
                <w:p w14:paraId="635A4ADA" w14:textId="53A79D44"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w:t>
                  </w:r>
                </w:p>
              </w:tc>
              <w:tc>
                <w:tcPr>
                  <w:tcW w:w="1134" w:type="dxa"/>
                  <w:tcBorders>
                    <w:top w:val="nil"/>
                    <w:left w:val="nil"/>
                    <w:bottom w:val="single" w:sz="8" w:space="0" w:color="auto"/>
                    <w:right w:val="nil"/>
                  </w:tcBorders>
                  <w:shd w:val="clear" w:color="auto" w:fill="auto"/>
                  <w:vAlign w:val="center"/>
                  <w:hideMark/>
                </w:tcPr>
                <w:p w14:paraId="19F687B5" w14:textId="60490DEC"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(30 478)</w:t>
                  </w:r>
                </w:p>
              </w:tc>
            </w:tr>
            <w:tr w:rsidR="00553801" w:rsidRPr="00291889" w14:paraId="6CD93C96" w14:textId="77777777" w:rsidTr="000B7985">
              <w:trPr>
                <w:trHeight w:val="265"/>
              </w:trPr>
              <w:tc>
                <w:tcPr>
                  <w:tcW w:w="2095" w:type="dxa"/>
                  <w:tcBorders>
                    <w:top w:val="nil"/>
                    <w:left w:val="nil"/>
                    <w:bottom w:val="nil"/>
                    <w:right w:val="nil"/>
                  </w:tcBorders>
                  <w:shd w:val="clear" w:color="auto" w:fill="auto"/>
                  <w:vAlign w:val="center"/>
                  <w:hideMark/>
                </w:tcPr>
                <w:p w14:paraId="7F007044" w14:textId="7777777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Koszty ogólnego zarządu</w:t>
                  </w:r>
                </w:p>
              </w:tc>
              <w:tc>
                <w:tcPr>
                  <w:tcW w:w="981" w:type="dxa"/>
                  <w:tcBorders>
                    <w:top w:val="nil"/>
                    <w:left w:val="nil"/>
                    <w:bottom w:val="single" w:sz="8" w:space="0" w:color="auto"/>
                    <w:right w:val="nil"/>
                  </w:tcBorders>
                  <w:shd w:val="clear" w:color="auto" w:fill="auto"/>
                  <w:vAlign w:val="center"/>
                  <w:hideMark/>
                </w:tcPr>
                <w:p w14:paraId="4EDFDF2E" w14:textId="6DA7F6DD"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(173 135)</w:t>
                  </w:r>
                </w:p>
              </w:tc>
              <w:tc>
                <w:tcPr>
                  <w:tcW w:w="855" w:type="dxa"/>
                  <w:tcBorders>
                    <w:top w:val="nil"/>
                    <w:left w:val="nil"/>
                    <w:bottom w:val="single" w:sz="8" w:space="0" w:color="auto"/>
                    <w:right w:val="nil"/>
                  </w:tcBorders>
                  <w:shd w:val="clear" w:color="auto" w:fill="auto"/>
                  <w:vAlign w:val="center"/>
                  <w:hideMark/>
                </w:tcPr>
                <w:p w14:paraId="7D81D8ED" w14:textId="5FB67E36"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(26 183)</w:t>
                  </w:r>
                </w:p>
              </w:tc>
              <w:tc>
                <w:tcPr>
                  <w:tcW w:w="851" w:type="dxa"/>
                  <w:tcBorders>
                    <w:top w:val="nil"/>
                    <w:left w:val="nil"/>
                    <w:bottom w:val="single" w:sz="8" w:space="0" w:color="auto"/>
                    <w:right w:val="nil"/>
                  </w:tcBorders>
                  <w:shd w:val="clear" w:color="auto" w:fill="auto"/>
                  <w:vAlign w:val="center"/>
                  <w:hideMark/>
                </w:tcPr>
                <w:p w14:paraId="796BE78B" w14:textId="7714B64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(14 157)</w:t>
                  </w:r>
                </w:p>
              </w:tc>
              <w:tc>
                <w:tcPr>
                  <w:tcW w:w="938" w:type="dxa"/>
                  <w:tcBorders>
                    <w:top w:val="nil"/>
                    <w:left w:val="nil"/>
                    <w:bottom w:val="single" w:sz="8" w:space="0" w:color="auto"/>
                    <w:right w:val="nil"/>
                  </w:tcBorders>
                  <w:shd w:val="clear" w:color="auto" w:fill="auto"/>
                  <w:vAlign w:val="center"/>
                  <w:hideMark/>
                </w:tcPr>
                <w:p w14:paraId="3B9EAB9E" w14:textId="70A0D73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14 483</w:t>
                  </w:r>
                </w:p>
              </w:tc>
              <w:tc>
                <w:tcPr>
                  <w:tcW w:w="1134" w:type="dxa"/>
                  <w:tcBorders>
                    <w:top w:val="nil"/>
                    <w:left w:val="nil"/>
                    <w:bottom w:val="single" w:sz="8" w:space="0" w:color="auto"/>
                    <w:right w:val="nil"/>
                  </w:tcBorders>
                  <w:shd w:val="clear" w:color="auto" w:fill="auto"/>
                  <w:vAlign w:val="center"/>
                  <w:hideMark/>
                </w:tcPr>
                <w:p w14:paraId="512AAA6F" w14:textId="656E5AA2"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(198 992)</w:t>
                  </w:r>
                </w:p>
              </w:tc>
            </w:tr>
            <w:tr w:rsidR="00553801" w:rsidRPr="00291889" w14:paraId="410E505F" w14:textId="77777777" w:rsidTr="000B7985">
              <w:trPr>
                <w:trHeight w:val="265"/>
              </w:trPr>
              <w:tc>
                <w:tcPr>
                  <w:tcW w:w="2095" w:type="dxa"/>
                  <w:tcBorders>
                    <w:top w:val="nil"/>
                    <w:left w:val="nil"/>
                    <w:bottom w:val="nil"/>
                    <w:right w:val="nil"/>
                  </w:tcBorders>
                  <w:shd w:val="clear" w:color="auto" w:fill="auto"/>
                  <w:vAlign w:val="center"/>
                  <w:hideMark/>
                </w:tcPr>
                <w:p w14:paraId="64F645A5" w14:textId="5597F575"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w:t>
                  </w:r>
                  <w:r w:rsidR="005F1CF1">
                    <w:rPr>
                      <w:rFonts w:ascii="Tahoma" w:eastAsia="Times New Roman" w:hAnsi="Tahoma" w:cs="Tahoma"/>
                      <w:color w:val="7F7F7F" w:themeColor="text1" w:themeTint="80"/>
                      <w:sz w:val="16"/>
                      <w:szCs w:val="16"/>
                    </w:rPr>
                    <w:t xml:space="preserve"> </w:t>
                  </w:r>
                  <w:r w:rsidRPr="00291889">
                    <w:rPr>
                      <w:rFonts w:ascii="Tahoma" w:eastAsia="Times New Roman" w:hAnsi="Tahoma" w:cs="Tahoma"/>
                      <w:color w:val="7F7F7F" w:themeColor="text1" w:themeTint="80"/>
                      <w:sz w:val="16"/>
                      <w:szCs w:val="16"/>
                    </w:rPr>
                    <w:t>z działalności operacyjnej</w:t>
                  </w:r>
                </w:p>
              </w:tc>
              <w:tc>
                <w:tcPr>
                  <w:tcW w:w="981" w:type="dxa"/>
                  <w:tcBorders>
                    <w:top w:val="nil"/>
                    <w:left w:val="nil"/>
                    <w:bottom w:val="single" w:sz="8" w:space="0" w:color="auto"/>
                    <w:right w:val="nil"/>
                  </w:tcBorders>
                  <w:shd w:val="clear" w:color="auto" w:fill="auto"/>
                  <w:vAlign w:val="center"/>
                  <w:hideMark/>
                </w:tcPr>
                <w:p w14:paraId="56DAAE38" w14:textId="41B065F7"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206 994</w:t>
                  </w:r>
                </w:p>
              </w:tc>
              <w:tc>
                <w:tcPr>
                  <w:tcW w:w="855" w:type="dxa"/>
                  <w:tcBorders>
                    <w:top w:val="nil"/>
                    <w:left w:val="nil"/>
                    <w:bottom w:val="single" w:sz="8" w:space="0" w:color="auto"/>
                    <w:right w:val="nil"/>
                  </w:tcBorders>
                  <w:shd w:val="clear" w:color="auto" w:fill="auto"/>
                  <w:vAlign w:val="center"/>
                  <w:hideMark/>
                </w:tcPr>
                <w:p w14:paraId="1E5A8E09" w14:textId="2744941E"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116 785</w:t>
                  </w:r>
                </w:p>
              </w:tc>
              <w:tc>
                <w:tcPr>
                  <w:tcW w:w="851" w:type="dxa"/>
                  <w:tcBorders>
                    <w:top w:val="nil"/>
                    <w:left w:val="nil"/>
                    <w:bottom w:val="single" w:sz="8" w:space="0" w:color="auto"/>
                    <w:right w:val="nil"/>
                  </w:tcBorders>
                  <w:shd w:val="clear" w:color="auto" w:fill="auto"/>
                  <w:vAlign w:val="center"/>
                  <w:hideMark/>
                </w:tcPr>
                <w:p w14:paraId="1307B422" w14:textId="0CF2FF25"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23 187</w:t>
                  </w:r>
                </w:p>
              </w:tc>
              <w:tc>
                <w:tcPr>
                  <w:tcW w:w="938" w:type="dxa"/>
                  <w:tcBorders>
                    <w:top w:val="nil"/>
                    <w:left w:val="nil"/>
                    <w:bottom w:val="single" w:sz="8" w:space="0" w:color="auto"/>
                    <w:right w:val="nil"/>
                  </w:tcBorders>
                  <w:shd w:val="clear" w:color="auto" w:fill="auto"/>
                  <w:vAlign w:val="center"/>
                  <w:hideMark/>
                </w:tcPr>
                <w:p w14:paraId="29962D0F" w14:textId="6132E36A"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(28 572)</w:t>
                  </w:r>
                </w:p>
              </w:tc>
              <w:tc>
                <w:tcPr>
                  <w:tcW w:w="1134" w:type="dxa"/>
                  <w:tcBorders>
                    <w:top w:val="nil"/>
                    <w:left w:val="nil"/>
                    <w:bottom w:val="single" w:sz="8" w:space="0" w:color="auto"/>
                    <w:right w:val="nil"/>
                  </w:tcBorders>
                  <w:shd w:val="clear" w:color="auto" w:fill="auto"/>
                  <w:vAlign w:val="center"/>
                  <w:hideMark/>
                </w:tcPr>
                <w:p w14:paraId="014B4E7A" w14:textId="784B4374"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318 394</w:t>
                  </w:r>
                </w:p>
              </w:tc>
            </w:tr>
            <w:tr w:rsidR="00553801" w:rsidRPr="00291889" w14:paraId="604EFE49" w14:textId="77777777" w:rsidTr="000B7985">
              <w:trPr>
                <w:trHeight w:val="265"/>
              </w:trPr>
              <w:tc>
                <w:tcPr>
                  <w:tcW w:w="2095" w:type="dxa"/>
                  <w:tcBorders>
                    <w:top w:val="nil"/>
                    <w:left w:val="nil"/>
                    <w:bottom w:val="nil"/>
                    <w:right w:val="nil"/>
                  </w:tcBorders>
                  <w:shd w:val="clear" w:color="auto" w:fill="auto"/>
                  <w:vAlign w:val="center"/>
                  <w:hideMark/>
                </w:tcPr>
                <w:p w14:paraId="5D2E333D" w14:textId="7A67B332"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 brutto</w:t>
                  </w:r>
                </w:p>
              </w:tc>
              <w:tc>
                <w:tcPr>
                  <w:tcW w:w="981" w:type="dxa"/>
                  <w:tcBorders>
                    <w:top w:val="nil"/>
                    <w:left w:val="nil"/>
                    <w:bottom w:val="nil"/>
                    <w:right w:val="nil"/>
                  </w:tcBorders>
                  <w:shd w:val="clear" w:color="auto" w:fill="auto"/>
                  <w:vAlign w:val="center"/>
                  <w:hideMark/>
                </w:tcPr>
                <w:p w14:paraId="50709196" w14:textId="7752815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188 461</w:t>
                  </w:r>
                </w:p>
              </w:tc>
              <w:tc>
                <w:tcPr>
                  <w:tcW w:w="855" w:type="dxa"/>
                  <w:tcBorders>
                    <w:top w:val="nil"/>
                    <w:left w:val="nil"/>
                    <w:bottom w:val="nil"/>
                    <w:right w:val="nil"/>
                  </w:tcBorders>
                  <w:shd w:val="clear" w:color="auto" w:fill="auto"/>
                  <w:vAlign w:val="center"/>
                  <w:hideMark/>
                </w:tcPr>
                <w:p w14:paraId="098E0CF3" w14:textId="3337FFE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120 146</w:t>
                  </w:r>
                </w:p>
              </w:tc>
              <w:tc>
                <w:tcPr>
                  <w:tcW w:w="851" w:type="dxa"/>
                  <w:tcBorders>
                    <w:top w:val="nil"/>
                    <w:left w:val="nil"/>
                    <w:bottom w:val="nil"/>
                    <w:right w:val="nil"/>
                  </w:tcBorders>
                  <w:shd w:val="clear" w:color="auto" w:fill="auto"/>
                  <w:vAlign w:val="center"/>
                  <w:hideMark/>
                </w:tcPr>
                <w:p w14:paraId="29937782" w14:textId="06603388"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52 075</w:t>
                  </w:r>
                </w:p>
              </w:tc>
              <w:tc>
                <w:tcPr>
                  <w:tcW w:w="938" w:type="dxa"/>
                  <w:tcBorders>
                    <w:top w:val="nil"/>
                    <w:left w:val="nil"/>
                    <w:bottom w:val="nil"/>
                    <w:right w:val="nil"/>
                  </w:tcBorders>
                  <w:shd w:val="clear" w:color="auto" w:fill="auto"/>
                  <w:vAlign w:val="center"/>
                  <w:hideMark/>
                </w:tcPr>
                <w:p w14:paraId="195C76AB" w14:textId="33A5A540"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(28 325)</w:t>
                  </w:r>
                </w:p>
              </w:tc>
              <w:tc>
                <w:tcPr>
                  <w:tcW w:w="1134" w:type="dxa"/>
                  <w:tcBorders>
                    <w:top w:val="nil"/>
                    <w:left w:val="nil"/>
                    <w:bottom w:val="nil"/>
                    <w:right w:val="nil"/>
                  </w:tcBorders>
                  <w:shd w:val="clear" w:color="auto" w:fill="auto"/>
                  <w:vAlign w:val="center"/>
                  <w:hideMark/>
                </w:tcPr>
                <w:p w14:paraId="0B4139B1" w14:textId="74C14E9B"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332 357</w:t>
                  </w:r>
                </w:p>
              </w:tc>
            </w:tr>
            <w:tr w:rsidR="00553801" w:rsidRPr="00291889" w14:paraId="13925005" w14:textId="77777777" w:rsidTr="000B7985">
              <w:trPr>
                <w:trHeight w:val="265"/>
              </w:trPr>
              <w:tc>
                <w:tcPr>
                  <w:tcW w:w="2095" w:type="dxa"/>
                  <w:tcBorders>
                    <w:top w:val="nil"/>
                    <w:left w:val="nil"/>
                    <w:bottom w:val="nil"/>
                    <w:right w:val="nil"/>
                  </w:tcBorders>
                  <w:shd w:val="clear" w:color="auto" w:fill="auto"/>
                  <w:vAlign w:val="center"/>
                  <w:hideMark/>
                </w:tcPr>
                <w:p w14:paraId="517E1F32" w14:textId="36F17FA7"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w:t>
                  </w:r>
                  <w:r w:rsidR="005F1CF1">
                    <w:rPr>
                      <w:rFonts w:ascii="Tahoma" w:eastAsia="Times New Roman" w:hAnsi="Tahoma" w:cs="Tahoma"/>
                      <w:color w:val="7F7F7F" w:themeColor="text1" w:themeTint="80"/>
                      <w:sz w:val="16"/>
                      <w:szCs w:val="16"/>
                    </w:rPr>
                    <w:t xml:space="preserve"> </w:t>
                  </w:r>
                  <w:r w:rsidRPr="00291889">
                    <w:rPr>
                      <w:rFonts w:ascii="Tahoma" w:eastAsia="Times New Roman" w:hAnsi="Tahoma" w:cs="Tahoma"/>
                      <w:color w:val="7F7F7F" w:themeColor="text1" w:themeTint="80"/>
                      <w:sz w:val="16"/>
                      <w:szCs w:val="16"/>
                    </w:rPr>
                    <w:t xml:space="preserve">netto </w:t>
                  </w:r>
                </w:p>
              </w:tc>
              <w:tc>
                <w:tcPr>
                  <w:tcW w:w="981" w:type="dxa"/>
                  <w:tcBorders>
                    <w:top w:val="single" w:sz="8" w:space="0" w:color="auto"/>
                    <w:left w:val="nil"/>
                    <w:bottom w:val="single" w:sz="8" w:space="0" w:color="auto"/>
                    <w:right w:val="nil"/>
                  </w:tcBorders>
                  <w:shd w:val="clear" w:color="auto" w:fill="auto"/>
                  <w:vAlign w:val="center"/>
                  <w:hideMark/>
                </w:tcPr>
                <w:p w14:paraId="6E7F917C" w14:textId="69BB0082"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106 794</w:t>
                  </w:r>
                </w:p>
              </w:tc>
              <w:tc>
                <w:tcPr>
                  <w:tcW w:w="855" w:type="dxa"/>
                  <w:tcBorders>
                    <w:top w:val="single" w:sz="8" w:space="0" w:color="auto"/>
                    <w:left w:val="nil"/>
                    <w:bottom w:val="single" w:sz="8" w:space="0" w:color="auto"/>
                    <w:right w:val="nil"/>
                  </w:tcBorders>
                  <w:shd w:val="clear" w:color="auto" w:fill="auto"/>
                  <w:vAlign w:val="center"/>
                  <w:hideMark/>
                </w:tcPr>
                <w:p w14:paraId="2EFD3776" w14:textId="460F6912"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97 056</w:t>
                  </w:r>
                </w:p>
              </w:tc>
              <w:tc>
                <w:tcPr>
                  <w:tcW w:w="851" w:type="dxa"/>
                  <w:tcBorders>
                    <w:top w:val="single" w:sz="8" w:space="0" w:color="auto"/>
                    <w:left w:val="nil"/>
                    <w:bottom w:val="single" w:sz="8" w:space="0" w:color="auto"/>
                    <w:right w:val="nil"/>
                  </w:tcBorders>
                  <w:shd w:val="clear" w:color="auto" w:fill="auto"/>
                  <w:vAlign w:val="center"/>
                  <w:hideMark/>
                </w:tcPr>
                <w:p w14:paraId="4345759F" w14:textId="583EBC5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47 946</w:t>
                  </w:r>
                </w:p>
              </w:tc>
              <w:tc>
                <w:tcPr>
                  <w:tcW w:w="938" w:type="dxa"/>
                  <w:tcBorders>
                    <w:top w:val="single" w:sz="8" w:space="0" w:color="auto"/>
                    <w:left w:val="nil"/>
                    <w:bottom w:val="single" w:sz="8" w:space="0" w:color="auto"/>
                    <w:right w:val="nil"/>
                  </w:tcBorders>
                  <w:shd w:val="clear" w:color="auto" w:fill="auto"/>
                  <w:vAlign w:val="center"/>
                  <w:hideMark/>
                </w:tcPr>
                <w:p w14:paraId="5ABE20BD" w14:textId="79CB5506"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(22 945)</w:t>
                  </w:r>
                </w:p>
              </w:tc>
              <w:tc>
                <w:tcPr>
                  <w:tcW w:w="1134" w:type="dxa"/>
                  <w:tcBorders>
                    <w:top w:val="single" w:sz="8" w:space="0" w:color="auto"/>
                    <w:left w:val="nil"/>
                    <w:bottom w:val="single" w:sz="8" w:space="0" w:color="auto"/>
                    <w:right w:val="nil"/>
                  </w:tcBorders>
                  <w:shd w:val="clear" w:color="auto" w:fill="auto"/>
                  <w:vAlign w:val="center"/>
                  <w:hideMark/>
                </w:tcPr>
                <w:p w14:paraId="4AFAD38B" w14:textId="0889D313"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228 851</w:t>
                  </w:r>
                </w:p>
              </w:tc>
            </w:tr>
            <w:tr w:rsidR="00553801" w:rsidRPr="00291889" w14:paraId="7EFEDBA9" w14:textId="77777777" w:rsidTr="000B7985">
              <w:trPr>
                <w:trHeight w:val="445"/>
              </w:trPr>
              <w:tc>
                <w:tcPr>
                  <w:tcW w:w="2095" w:type="dxa"/>
                  <w:tcBorders>
                    <w:top w:val="nil"/>
                    <w:left w:val="nil"/>
                    <w:bottom w:val="nil"/>
                    <w:right w:val="nil"/>
                  </w:tcBorders>
                  <w:shd w:val="clear" w:color="auto" w:fill="auto"/>
                  <w:vAlign w:val="center"/>
                  <w:hideMark/>
                </w:tcPr>
                <w:p w14:paraId="6F147F18" w14:textId="2A73382D" w:rsidR="00553801" w:rsidRPr="00291889" w:rsidRDefault="00553801" w:rsidP="00553801">
                  <w:pPr>
                    <w:spacing w:after="0" w:line="240" w:lineRule="auto"/>
                    <w:rPr>
                      <w:rFonts w:ascii="Tahoma" w:eastAsia="Times New Roman" w:hAnsi="Tahoma" w:cs="Tahoma"/>
                      <w:color w:val="7F7F7F" w:themeColor="text1" w:themeTint="80"/>
                      <w:sz w:val="16"/>
                      <w:szCs w:val="16"/>
                    </w:rPr>
                  </w:pPr>
                  <w:r w:rsidRPr="00291889">
                    <w:rPr>
                      <w:rFonts w:ascii="Tahoma" w:eastAsia="Times New Roman" w:hAnsi="Tahoma" w:cs="Tahoma"/>
                      <w:color w:val="7F7F7F" w:themeColor="text1" w:themeTint="80"/>
                      <w:sz w:val="16"/>
                      <w:szCs w:val="16"/>
                    </w:rPr>
                    <w:t>Zysk przypadający akcjonariuszom Jednostki Dominującej</w:t>
                  </w:r>
                </w:p>
              </w:tc>
              <w:tc>
                <w:tcPr>
                  <w:tcW w:w="981" w:type="dxa"/>
                  <w:tcBorders>
                    <w:top w:val="nil"/>
                    <w:left w:val="nil"/>
                    <w:bottom w:val="single" w:sz="8" w:space="0" w:color="auto"/>
                    <w:right w:val="nil"/>
                  </w:tcBorders>
                  <w:shd w:val="clear" w:color="auto" w:fill="auto"/>
                  <w:vAlign w:val="center"/>
                  <w:hideMark/>
                </w:tcPr>
                <w:p w14:paraId="005CAD2A" w14:textId="213ED9A3"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106 794</w:t>
                  </w:r>
                </w:p>
              </w:tc>
              <w:tc>
                <w:tcPr>
                  <w:tcW w:w="855" w:type="dxa"/>
                  <w:tcBorders>
                    <w:top w:val="nil"/>
                    <w:left w:val="nil"/>
                    <w:bottom w:val="single" w:sz="8" w:space="0" w:color="auto"/>
                    <w:right w:val="nil"/>
                  </w:tcBorders>
                  <w:shd w:val="clear" w:color="auto" w:fill="auto"/>
                  <w:vAlign w:val="center"/>
                  <w:hideMark/>
                </w:tcPr>
                <w:p w14:paraId="7E6BD808" w14:textId="032FFA0A"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97 056</w:t>
                  </w:r>
                </w:p>
              </w:tc>
              <w:tc>
                <w:tcPr>
                  <w:tcW w:w="851" w:type="dxa"/>
                  <w:tcBorders>
                    <w:top w:val="nil"/>
                    <w:left w:val="nil"/>
                    <w:bottom w:val="single" w:sz="8" w:space="0" w:color="auto"/>
                    <w:right w:val="nil"/>
                  </w:tcBorders>
                  <w:shd w:val="clear" w:color="auto" w:fill="auto"/>
                  <w:vAlign w:val="center"/>
                  <w:hideMark/>
                </w:tcPr>
                <w:p w14:paraId="0A4B9875" w14:textId="62981178"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45 109</w:t>
                  </w:r>
                </w:p>
              </w:tc>
              <w:tc>
                <w:tcPr>
                  <w:tcW w:w="938" w:type="dxa"/>
                  <w:tcBorders>
                    <w:top w:val="nil"/>
                    <w:left w:val="nil"/>
                    <w:bottom w:val="single" w:sz="8" w:space="0" w:color="auto"/>
                    <w:right w:val="nil"/>
                  </w:tcBorders>
                  <w:shd w:val="clear" w:color="auto" w:fill="auto"/>
                  <w:vAlign w:val="center"/>
                  <w:hideMark/>
                </w:tcPr>
                <w:p w14:paraId="1124716F" w14:textId="7EE31F81" w:rsidR="00553801" w:rsidRPr="00553801" w:rsidRDefault="00553801" w:rsidP="00553801">
                  <w:pPr>
                    <w:spacing w:after="0" w:line="240" w:lineRule="auto"/>
                    <w:jc w:val="right"/>
                    <w:rPr>
                      <w:rFonts w:ascii="Tahoma" w:eastAsia="Times New Roman" w:hAnsi="Tahoma" w:cs="Tahoma"/>
                      <w:color w:val="7F7F7F" w:themeColor="text1" w:themeTint="80"/>
                      <w:sz w:val="16"/>
                      <w:szCs w:val="16"/>
                    </w:rPr>
                  </w:pPr>
                  <w:r w:rsidRPr="000B7985">
                    <w:rPr>
                      <w:rFonts w:ascii="Tahoma" w:hAnsi="Tahoma" w:cs="Tahoma"/>
                      <w:color w:val="7F7F7F" w:themeColor="text1" w:themeTint="80"/>
                      <w:sz w:val="16"/>
                      <w:szCs w:val="16"/>
                    </w:rPr>
                    <w:t>(22 945)</w:t>
                  </w:r>
                </w:p>
              </w:tc>
              <w:tc>
                <w:tcPr>
                  <w:tcW w:w="1134" w:type="dxa"/>
                  <w:tcBorders>
                    <w:top w:val="nil"/>
                    <w:left w:val="nil"/>
                    <w:bottom w:val="single" w:sz="8" w:space="0" w:color="auto"/>
                    <w:right w:val="nil"/>
                  </w:tcBorders>
                  <w:shd w:val="clear" w:color="auto" w:fill="auto"/>
                  <w:vAlign w:val="center"/>
                  <w:hideMark/>
                </w:tcPr>
                <w:p w14:paraId="3E207A41" w14:textId="6A3C92D2" w:rsidR="00553801" w:rsidRPr="00553801" w:rsidRDefault="00553801" w:rsidP="00553801">
                  <w:pPr>
                    <w:spacing w:after="0" w:line="240" w:lineRule="auto"/>
                    <w:jc w:val="right"/>
                    <w:rPr>
                      <w:rFonts w:ascii="Tahoma" w:eastAsia="Times New Roman" w:hAnsi="Tahoma" w:cs="Tahoma"/>
                      <w:b/>
                      <w:bCs/>
                      <w:color w:val="7F7F7F" w:themeColor="text1" w:themeTint="80"/>
                      <w:sz w:val="16"/>
                      <w:szCs w:val="16"/>
                    </w:rPr>
                  </w:pPr>
                  <w:r w:rsidRPr="000B7985">
                    <w:rPr>
                      <w:rFonts w:ascii="Tahoma" w:hAnsi="Tahoma" w:cs="Tahoma"/>
                      <w:b/>
                      <w:color w:val="7F7F7F" w:themeColor="text1" w:themeTint="80"/>
                      <w:sz w:val="16"/>
                      <w:szCs w:val="16"/>
                    </w:rPr>
                    <w:t>226 014</w:t>
                  </w:r>
                </w:p>
              </w:tc>
            </w:tr>
          </w:tbl>
          <w:p w14:paraId="44BE80C7" w14:textId="77777777" w:rsidR="00D824D3" w:rsidRPr="00775CAB" w:rsidRDefault="00D824D3">
            <w:pPr>
              <w:spacing w:line="360" w:lineRule="auto"/>
              <w:jc w:val="both"/>
              <w:rPr>
                <w:rFonts w:ascii="Tahoma" w:eastAsia="Tahoma" w:hAnsi="Tahoma" w:cs="Tahoma"/>
                <w:bCs/>
                <w:color w:val="FFC000"/>
              </w:rPr>
            </w:pPr>
          </w:p>
        </w:tc>
        <w:tc>
          <w:tcPr>
            <w:tcW w:w="3118" w:type="dxa"/>
          </w:tcPr>
          <w:p w14:paraId="5B5F2F21" w14:textId="25933D63" w:rsidR="00D824D3" w:rsidRPr="00775CAB" w:rsidRDefault="00D824D3">
            <w:pPr>
              <w:spacing w:line="360" w:lineRule="auto"/>
              <w:jc w:val="center"/>
              <w:rPr>
                <w:rFonts w:ascii="Tahoma" w:eastAsia="Tahoma" w:hAnsi="Tahoma" w:cs="Tahoma"/>
                <w:bCs/>
                <w:color w:val="FFC000"/>
              </w:rPr>
            </w:pPr>
          </w:p>
          <w:p w14:paraId="6D9FE0D9" w14:textId="77777777" w:rsidR="00D824D3" w:rsidRPr="00775CAB" w:rsidRDefault="00D824D3">
            <w:pPr>
              <w:spacing w:line="360" w:lineRule="auto"/>
              <w:jc w:val="center"/>
              <w:rPr>
                <w:rFonts w:ascii="Tahoma" w:eastAsia="Tahoma" w:hAnsi="Tahoma" w:cs="Tahoma"/>
                <w:bCs/>
                <w:color w:val="FFC000"/>
              </w:rPr>
            </w:pPr>
          </w:p>
          <w:p w14:paraId="2981D933" w14:textId="77777777" w:rsidR="00D824D3" w:rsidRPr="00775CAB" w:rsidRDefault="00D824D3">
            <w:pPr>
              <w:spacing w:line="360" w:lineRule="auto"/>
              <w:jc w:val="center"/>
              <w:rPr>
                <w:rFonts w:ascii="Tahoma" w:eastAsia="Tahoma" w:hAnsi="Tahoma" w:cs="Tahoma"/>
                <w:bCs/>
                <w:color w:val="FFC000"/>
              </w:rPr>
            </w:pPr>
          </w:p>
          <w:p w14:paraId="75763072" w14:textId="77777777" w:rsidR="00D824D3" w:rsidRPr="00775CAB" w:rsidRDefault="00D824D3">
            <w:pPr>
              <w:spacing w:line="360" w:lineRule="auto"/>
              <w:jc w:val="center"/>
              <w:rPr>
                <w:rFonts w:ascii="Tahoma" w:eastAsia="Tahoma" w:hAnsi="Tahoma" w:cs="Tahoma"/>
                <w:bCs/>
                <w:color w:val="FFC000"/>
              </w:rPr>
            </w:pPr>
          </w:p>
          <w:p w14:paraId="522D8B16" w14:textId="45137F75" w:rsidR="00D824D3" w:rsidRPr="00775CAB" w:rsidRDefault="00D824D3">
            <w:pPr>
              <w:spacing w:line="360" w:lineRule="auto"/>
              <w:jc w:val="center"/>
              <w:rPr>
                <w:rFonts w:ascii="Tahoma" w:eastAsia="Tahoma" w:hAnsi="Tahoma" w:cs="Tahoma"/>
                <w:bCs/>
                <w:color w:val="FFC000"/>
              </w:rPr>
            </w:pPr>
          </w:p>
          <w:p w14:paraId="383DA6A1" w14:textId="77777777" w:rsidR="00D824D3" w:rsidRPr="00775CAB" w:rsidRDefault="00D824D3">
            <w:pPr>
              <w:spacing w:line="360" w:lineRule="auto"/>
              <w:jc w:val="center"/>
              <w:rPr>
                <w:rFonts w:ascii="Tahoma" w:eastAsia="Tahoma" w:hAnsi="Tahoma" w:cs="Tahoma"/>
                <w:bCs/>
                <w:color w:val="FFC000"/>
              </w:rPr>
            </w:pPr>
          </w:p>
          <w:p w14:paraId="302E4DF3" w14:textId="77777777" w:rsidR="00D824D3" w:rsidRPr="00775CAB" w:rsidRDefault="00D824D3">
            <w:pPr>
              <w:spacing w:after="120" w:line="360" w:lineRule="auto"/>
              <w:rPr>
                <w:rFonts w:ascii="Verdana" w:eastAsia="Verdana" w:hAnsi="Verdana" w:cs="Verdana"/>
                <w:bCs/>
                <w:color w:val="FFC000"/>
                <w:sz w:val="20"/>
                <w:szCs w:val="20"/>
              </w:rPr>
            </w:pPr>
          </w:p>
          <w:p w14:paraId="7B71267C" w14:textId="77777777" w:rsidR="00D824D3" w:rsidRPr="00775CAB" w:rsidRDefault="00B63B5B">
            <w:pPr>
              <w:spacing w:after="120" w:line="360" w:lineRule="auto"/>
              <w:rPr>
                <w:rFonts w:ascii="Verdana" w:eastAsia="Verdana" w:hAnsi="Verdana" w:cs="Verdana"/>
                <w:bCs/>
                <w:color w:val="FFC000"/>
                <w:sz w:val="20"/>
                <w:szCs w:val="20"/>
              </w:rPr>
            </w:pPr>
            <w:r w:rsidRPr="00775CAB">
              <w:rPr>
                <w:rFonts w:ascii="Verdana" w:eastAsia="Verdana" w:hAnsi="Verdana" w:cs="Verdana"/>
                <w:bCs/>
                <w:color w:val="FFC000"/>
                <w:sz w:val="20"/>
                <w:szCs w:val="20"/>
              </w:rPr>
              <w:t xml:space="preserve">Kontakt: </w:t>
            </w:r>
          </w:p>
          <w:p w14:paraId="3EDE60A1" w14:textId="45C07FB4" w:rsidR="00D824D3" w:rsidRPr="00775CAB" w:rsidRDefault="00B63B5B">
            <w:pPr>
              <w:spacing w:after="120" w:line="360" w:lineRule="auto"/>
              <w:rPr>
                <w:rFonts w:ascii="Verdana" w:eastAsia="Verdana" w:hAnsi="Verdana" w:cs="Verdana"/>
                <w:bCs/>
                <w:color w:val="808080"/>
                <w:sz w:val="18"/>
                <w:szCs w:val="18"/>
              </w:rPr>
            </w:pPr>
            <w:r w:rsidRPr="00775CAB">
              <w:rPr>
                <w:rFonts w:ascii="Verdana" w:eastAsia="Verdana" w:hAnsi="Verdana" w:cs="Verdana"/>
                <w:bCs/>
                <w:color w:val="808080"/>
                <w:sz w:val="18"/>
                <w:szCs w:val="18"/>
              </w:rPr>
              <w:t>Michał Wrzosek</w:t>
            </w:r>
            <w:r w:rsidR="0053503C">
              <w:rPr>
                <w:rFonts w:ascii="Verdana" w:eastAsia="Verdana" w:hAnsi="Verdana" w:cs="Verdana"/>
                <w:bCs/>
                <w:color w:val="808080"/>
                <w:sz w:val="18"/>
                <w:szCs w:val="18"/>
              </w:rPr>
              <w:t xml:space="preserve"> -</w:t>
            </w:r>
            <w:r w:rsidRPr="00775CAB">
              <w:rPr>
                <w:rFonts w:ascii="Verdana" w:eastAsia="Verdana" w:hAnsi="Verdana" w:cs="Verdana"/>
                <w:bCs/>
                <w:color w:val="808080"/>
                <w:sz w:val="18"/>
                <w:szCs w:val="18"/>
              </w:rPr>
              <w:t xml:space="preserve"> Rzecznik Prasowy</w:t>
            </w:r>
          </w:p>
          <w:p w14:paraId="742DC472" w14:textId="77777777" w:rsidR="00D824D3" w:rsidRPr="00775CAB" w:rsidRDefault="00B63B5B">
            <w:pPr>
              <w:spacing w:line="360" w:lineRule="auto"/>
              <w:rPr>
                <w:rFonts w:ascii="Verdana" w:eastAsia="Verdana" w:hAnsi="Verdana" w:cs="Verdana"/>
                <w:bCs/>
                <w:color w:val="808080"/>
                <w:sz w:val="18"/>
                <w:szCs w:val="18"/>
              </w:rPr>
            </w:pPr>
            <w:r w:rsidRPr="00775CAB">
              <w:rPr>
                <w:rFonts w:ascii="Verdana" w:eastAsia="Verdana" w:hAnsi="Verdana" w:cs="Verdana"/>
                <w:bCs/>
                <w:color w:val="808080"/>
                <w:sz w:val="18"/>
                <w:szCs w:val="18"/>
              </w:rPr>
              <w:t xml:space="preserve">tel. (22) 62 36 164, 512 478 522, </w:t>
            </w:r>
          </w:p>
          <w:p w14:paraId="1AD63FF4" w14:textId="77777777" w:rsidR="00D824D3" w:rsidRPr="00775CAB" w:rsidRDefault="00F65065">
            <w:pPr>
              <w:spacing w:line="360" w:lineRule="auto"/>
              <w:rPr>
                <w:rFonts w:ascii="Verdana" w:eastAsia="Verdana" w:hAnsi="Verdana" w:cs="Verdana"/>
                <w:bCs/>
                <w:color w:val="808080"/>
                <w:sz w:val="18"/>
                <w:szCs w:val="18"/>
              </w:rPr>
            </w:pPr>
            <w:hyperlink r:id="rId16">
              <w:r w:rsidR="00B63B5B" w:rsidRPr="00775CAB">
                <w:rPr>
                  <w:rFonts w:ascii="Verdana" w:eastAsia="Verdana" w:hAnsi="Verdana" w:cs="Verdana"/>
                  <w:bCs/>
                  <w:color w:val="808080"/>
                  <w:sz w:val="18"/>
                  <w:szCs w:val="18"/>
                  <w:u w:val="single"/>
                </w:rPr>
                <w:t>michal.wrzosek@budimex.pl</w:t>
              </w:r>
            </w:hyperlink>
          </w:p>
          <w:p w14:paraId="286034E8" w14:textId="77777777" w:rsidR="00D824D3" w:rsidRPr="00775CAB" w:rsidRDefault="00F65065">
            <w:pPr>
              <w:spacing w:before="280" w:after="280" w:line="360" w:lineRule="auto"/>
              <w:jc w:val="both"/>
              <w:rPr>
                <w:rFonts w:ascii="Tahoma" w:eastAsia="Tahoma" w:hAnsi="Tahoma" w:cs="Tahoma"/>
                <w:bCs/>
                <w:color w:val="7F7F7F"/>
                <w:sz w:val="18"/>
                <w:szCs w:val="18"/>
              </w:rPr>
            </w:pPr>
            <w:hyperlink r:id="rId17">
              <w:r w:rsidR="00B63B5B" w:rsidRPr="00775CAB">
                <w:rPr>
                  <w:rFonts w:ascii="Tahoma" w:eastAsia="Tahoma" w:hAnsi="Tahoma" w:cs="Tahoma"/>
                  <w:bCs/>
                  <w:color w:val="7F7F7F"/>
                  <w:sz w:val="18"/>
                  <w:szCs w:val="18"/>
                  <w:u w:val="single"/>
                </w:rPr>
                <w:t>www.media.budimex.pl</w:t>
              </w:r>
            </w:hyperlink>
          </w:p>
          <w:p w14:paraId="0DDA63C7" w14:textId="77777777" w:rsidR="00D824D3" w:rsidRPr="00775CAB" w:rsidRDefault="00D824D3">
            <w:pPr>
              <w:spacing w:line="360" w:lineRule="auto"/>
              <w:jc w:val="center"/>
              <w:rPr>
                <w:rFonts w:ascii="Tahoma" w:eastAsia="Tahoma" w:hAnsi="Tahoma" w:cs="Tahoma"/>
                <w:bCs/>
                <w:color w:val="FFC000"/>
              </w:rPr>
            </w:pPr>
          </w:p>
          <w:p w14:paraId="0E328550" w14:textId="798C6451" w:rsidR="00D824D3" w:rsidRPr="00775CAB" w:rsidRDefault="00D824D3">
            <w:pPr>
              <w:spacing w:line="360" w:lineRule="auto"/>
              <w:jc w:val="center"/>
              <w:rPr>
                <w:rFonts w:ascii="Tahoma" w:eastAsia="Tahoma" w:hAnsi="Tahoma" w:cs="Tahoma"/>
                <w:bCs/>
                <w:color w:val="FFC000"/>
              </w:rPr>
            </w:pPr>
          </w:p>
          <w:p w14:paraId="4331147F" w14:textId="53DF4D8F" w:rsidR="00D824D3" w:rsidRPr="00775CAB" w:rsidRDefault="00D824D3">
            <w:pPr>
              <w:spacing w:line="360" w:lineRule="auto"/>
              <w:jc w:val="center"/>
              <w:rPr>
                <w:rFonts w:ascii="Tahoma" w:eastAsia="Tahoma" w:hAnsi="Tahoma" w:cs="Tahoma"/>
                <w:bCs/>
                <w:color w:val="FFC000"/>
              </w:rPr>
            </w:pPr>
          </w:p>
          <w:p w14:paraId="4CEC1C16" w14:textId="1AD2C548" w:rsidR="00D824D3" w:rsidRPr="00775CAB" w:rsidRDefault="00D824D3">
            <w:pPr>
              <w:spacing w:line="360" w:lineRule="auto"/>
              <w:jc w:val="center"/>
              <w:rPr>
                <w:rFonts w:ascii="Tahoma" w:eastAsia="Tahoma" w:hAnsi="Tahoma" w:cs="Tahoma"/>
                <w:bCs/>
                <w:color w:val="FFC000"/>
              </w:rPr>
            </w:pPr>
          </w:p>
        </w:tc>
      </w:tr>
    </w:tbl>
    <w:p w14:paraId="75C8D60E" w14:textId="77777777" w:rsidR="00381009" w:rsidRDefault="00381009" w:rsidP="001C6BED">
      <w:pPr>
        <w:spacing w:line="360" w:lineRule="auto"/>
        <w:ind w:right="1"/>
        <w:jc w:val="both"/>
        <w:rPr>
          <w:rFonts w:ascii="Tahoma" w:eastAsia="Tahoma" w:hAnsi="Tahoma" w:cs="Tahoma"/>
          <w:color w:val="808080"/>
          <w:sz w:val="18"/>
          <w:szCs w:val="18"/>
        </w:rPr>
      </w:pPr>
    </w:p>
    <w:p w14:paraId="34C8CCB9" w14:textId="77777777" w:rsidR="00381009" w:rsidRDefault="00381009" w:rsidP="001C6BED">
      <w:pPr>
        <w:spacing w:line="360" w:lineRule="auto"/>
        <w:ind w:right="1"/>
        <w:jc w:val="both"/>
        <w:rPr>
          <w:rFonts w:ascii="Tahoma" w:eastAsia="Tahoma" w:hAnsi="Tahoma" w:cs="Tahoma"/>
          <w:color w:val="808080"/>
          <w:sz w:val="18"/>
          <w:szCs w:val="18"/>
        </w:rPr>
      </w:pPr>
    </w:p>
    <w:p w14:paraId="1662B5F1" w14:textId="77777777" w:rsidR="00381009" w:rsidRDefault="00381009" w:rsidP="001C6BED">
      <w:pPr>
        <w:spacing w:line="360" w:lineRule="auto"/>
        <w:ind w:right="1"/>
        <w:jc w:val="both"/>
        <w:rPr>
          <w:rFonts w:ascii="Tahoma" w:eastAsia="Tahoma" w:hAnsi="Tahoma" w:cs="Tahoma"/>
          <w:color w:val="808080"/>
          <w:sz w:val="18"/>
          <w:szCs w:val="18"/>
        </w:rPr>
      </w:pPr>
    </w:p>
    <w:p w14:paraId="052460AF" w14:textId="77777777" w:rsidR="00212DD0" w:rsidRDefault="00212DD0">
      <w:pPr>
        <w:rPr>
          <w:rFonts w:ascii="Tahoma" w:eastAsia="Tahoma" w:hAnsi="Tahoma" w:cs="Tahoma"/>
          <w:color w:val="808080"/>
          <w:sz w:val="18"/>
          <w:szCs w:val="18"/>
        </w:rPr>
      </w:pPr>
      <w:r>
        <w:rPr>
          <w:rFonts w:ascii="Tahoma" w:eastAsia="Tahoma" w:hAnsi="Tahoma" w:cs="Tahoma"/>
          <w:color w:val="808080"/>
          <w:sz w:val="18"/>
          <w:szCs w:val="18"/>
        </w:rPr>
        <w:br w:type="page"/>
      </w:r>
    </w:p>
    <w:p w14:paraId="3A1347EF" w14:textId="77777777" w:rsidR="00212DD0" w:rsidRDefault="00212DD0" w:rsidP="001C6BED">
      <w:pPr>
        <w:spacing w:line="360" w:lineRule="auto"/>
        <w:ind w:right="1"/>
        <w:jc w:val="both"/>
        <w:rPr>
          <w:rFonts w:ascii="Tahoma" w:eastAsia="Tahoma" w:hAnsi="Tahoma" w:cs="Tahoma"/>
          <w:color w:val="808080"/>
          <w:sz w:val="18"/>
          <w:szCs w:val="18"/>
        </w:rPr>
      </w:pPr>
      <w:r>
        <w:rPr>
          <w:rFonts w:ascii="Tahoma" w:eastAsia="Tahoma" w:hAnsi="Tahoma" w:cs="Tahoma"/>
          <w:color w:val="808080"/>
          <w:sz w:val="18"/>
          <w:szCs w:val="18"/>
        </w:rPr>
        <w:lastRenderedPageBreak/>
        <w:br/>
      </w:r>
    </w:p>
    <w:p w14:paraId="6C987C90" w14:textId="181087BB" w:rsidR="00381009" w:rsidRDefault="00212DD0" w:rsidP="00212DD0">
      <w:pPr>
        <w:spacing w:line="360" w:lineRule="auto"/>
        <w:ind w:right="1"/>
        <w:rPr>
          <w:rFonts w:ascii="Tahoma" w:eastAsia="Tahoma" w:hAnsi="Tahoma" w:cs="Tahoma"/>
          <w:color w:val="808080"/>
          <w:sz w:val="18"/>
          <w:szCs w:val="18"/>
        </w:rPr>
      </w:pPr>
      <w:r>
        <w:rPr>
          <w:rFonts w:ascii="Tahoma" w:eastAsia="Tahoma" w:hAnsi="Tahoma" w:cs="Tahoma"/>
          <w:noProof/>
          <w:color w:val="808080"/>
          <w:sz w:val="18"/>
          <w:szCs w:val="18"/>
        </w:rPr>
        <w:drawing>
          <wp:anchor distT="0" distB="0" distL="114300" distR="114300" simplePos="0" relativeHeight="251702272" behindDoc="0" locked="0" layoutInCell="1" allowOverlap="1" wp14:anchorId="2E7B937C" wp14:editId="4D33CE39">
            <wp:simplePos x="0" y="0"/>
            <wp:positionH relativeFrom="margin">
              <wp:align>right</wp:align>
            </wp:positionH>
            <wp:positionV relativeFrom="paragraph">
              <wp:posOffset>537210</wp:posOffset>
            </wp:positionV>
            <wp:extent cx="5943600" cy="4457700"/>
            <wp:effectExtent l="0" t="0" r="0" b="0"/>
            <wp:wrapSquare wrapText="bothSides"/>
            <wp:docPr id="3" name="Wideo 3" descr="Dariusz Blocher - Prezes Budimex SA - komentarz do wyników finansowych Grupy Budimex za 2020 r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deo 3" descr="Dariusz Blocher - Prezes Budimex SA - komentarz do wyników finansowych Grupy Budimex za 2020 rok">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_mpY4XCXELw?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sidR="00381009">
        <w:rPr>
          <w:rFonts w:ascii="Tahoma" w:eastAsia="Tahoma" w:hAnsi="Tahoma" w:cs="Tahoma"/>
          <w:color w:val="808080"/>
          <w:sz w:val="18"/>
          <w:szCs w:val="18"/>
        </w:rPr>
        <w:t xml:space="preserve">Dariusz Blocher, </w:t>
      </w:r>
      <w:r w:rsidR="00381009" w:rsidRPr="00381009">
        <w:rPr>
          <w:rFonts w:ascii="Tahoma" w:eastAsia="Tahoma" w:hAnsi="Tahoma" w:cs="Tahoma"/>
          <w:color w:val="808080"/>
          <w:sz w:val="18"/>
          <w:szCs w:val="18"/>
        </w:rPr>
        <w:t>Prezes Budimex SA - komentarz do wyników finansowych Grupy Budimex za 2020 rok</w:t>
      </w:r>
      <w:r>
        <w:rPr>
          <w:rFonts w:ascii="Tahoma" w:eastAsia="Tahoma" w:hAnsi="Tahoma" w:cs="Tahoma"/>
          <w:color w:val="808080"/>
          <w:sz w:val="18"/>
          <w:szCs w:val="18"/>
        </w:rPr>
        <w:br/>
      </w:r>
    </w:p>
    <w:p w14:paraId="4DB0525A" w14:textId="3677414A" w:rsidR="00212DD0" w:rsidRDefault="00212DD0" w:rsidP="001C6BED">
      <w:pPr>
        <w:spacing w:line="360" w:lineRule="auto"/>
        <w:ind w:right="1"/>
        <w:jc w:val="both"/>
        <w:rPr>
          <w:rFonts w:ascii="Tahoma" w:eastAsia="Tahoma" w:hAnsi="Tahoma" w:cs="Tahoma"/>
          <w:color w:val="808080"/>
          <w:sz w:val="18"/>
          <w:szCs w:val="18"/>
        </w:rPr>
      </w:pPr>
    </w:p>
    <w:sectPr w:rsidR="00212DD0">
      <w:headerReference w:type="even" r:id="rId20"/>
      <w:headerReference w:type="default" r:id="rId21"/>
      <w:footerReference w:type="even" r:id="rId22"/>
      <w:footerReference w:type="default" r:id="rId23"/>
      <w:headerReference w:type="first" r:id="rId24"/>
      <w:footerReference w:type="first" r:id="rId25"/>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61B09" w14:textId="77777777" w:rsidR="00F65065" w:rsidRDefault="00F65065">
      <w:pPr>
        <w:spacing w:after="0" w:line="240" w:lineRule="auto"/>
      </w:pPr>
      <w:r>
        <w:separator/>
      </w:r>
    </w:p>
  </w:endnote>
  <w:endnote w:type="continuationSeparator" w:id="0">
    <w:p w14:paraId="3ECA48C4" w14:textId="77777777" w:rsidR="00F65065" w:rsidRDefault="00F6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5B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A2B5" w14:textId="77777777" w:rsidR="00F65065" w:rsidRDefault="00F65065">
      <w:pPr>
        <w:spacing w:after="0" w:line="240" w:lineRule="auto"/>
      </w:pPr>
      <w:r>
        <w:separator/>
      </w:r>
    </w:p>
  </w:footnote>
  <w:footnote w:type="continuationSeparator" w:id="0">
    <w:p w14:paraId="66BDB63F" w14:textId="77777777" w:rsidR="00F65065" w:rsidRDefault="00F6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F148" w14:textId="77777777" w:rsidR="00D824D3" w:rsidRDefault="00B63B5B">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126564C0" wp14:editId="56D6C67B">
          <wp:simplePos x="0" y="0"/>
          <wp:positionH relativeFrom="column">
            <wp:posOffset>764</wp:posOffset>
          </wp:positionH>
          <wp:positionV relativeFrom="paragraph">
            <wp:posOffset>693</wp:posOffset>
          </wp:positionV>
          <wp:extent cx="1396800" cy="47880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153E2250" w14:textId="77777777" w:rsidR="00D824D3" w:rsidRDefault="00B63B5B">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0BB711A9" w14:textId="77777777" w:rsidR="00D824D3" w:rsidRDefault="00D824D3">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BB07B9"/>
    <w:multiLevelType w:val="hybridMultilevel"/>
    <w:tmpl w:val="FFAAB1F4"/>
    <w:lvl w:ilvl="0" w:tplc="4C107D68">
      <w:start w:val="1"/>
      <w:numFmt w:val="bullet"/>
      <w:lvlText w:val=""/>
      <w:lvlJc w:val="left"/>
      <w:pPr>
        <w:ind w:left="720" w:hanging="360"/>
      </w:pPr>
      <w:rPr>
        <w:rFonts w:ascii="Wingdings" w:hAnsi="Wingdings" w:hint="default"/>
        <w:color w:val="F2B8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D3"/>
    <w:rsid w:val="000602EE"/>
    <w:rsid w:val="0008411D"/>
    <w:rsid w:val="00084D2C"/>
    <w:rsid w:val="000935B7"/>
    <w:rsid w:val="00093C5B"/>
    <w:rsid w:val="00096E60"/>
    <w:rsid w:val="000A0D19"/>
    <w:rsid w:val="000B7985"/>
    <w:rsid w:val="000F0A9A"/>
    <w:rsid w:val="00106347"/>
    <w:rsid w:val="00120F42"/>
    <w:rsid w:val="00125739"/>
    <w:rsid w:val="00131EA2"/>
    <w:rsid w:val="0015239C"/>
    <w:rsid w:val="0016660D"/>
    <w:rsid w:val="00171E71"/>
    <w:rsid w:val="00176B23"/>
    <w:rsid w:val="00180DCA"/>
    <w:rsid w:val="001906A3"/>
    <w:rsid w:val="001A4687"/>
    <w:rsid w:val="001A5E03"/>
    <w:rsid w:val="001B53AC"/>
    <w:rsid w:val="001C6BED"/>
    <w:rsid w:val="001C78CD"/>
    <w:rsid w:val="001E5F16"/>
    <w:rsid w:val="001E6465"/>
    <w:rsid w:val="001F540C"/>
    <w:rsid w:val="00207D56"/>
    <w:rsid w:val="0021267C"/>
    <w:rsid w:val="00212DD0"/>
    <w:rsid w:val="00215A53"/>
    <w:rsid w:val="00241059"/>
    <w:rsid w:val="002451CA"/>
    <w:rsid w:val="0026041E"/>
    <w:rsid w:val="00271E13"/>
    <w:rsid w:val="00276417"/>
    <w:rsid w:val="002831E6"/>
    <w:rsid w:val="00286464"/>
    <w:rsid w:val="00287756"/>
    <w:rsid w:val="00291889"/>
    <w:rsid w:val="002A6E36"/>
    <w:rsid w:val="002F2A15"/>
    <w:rsid w:val="00312C4B"/>
    <w:rsid w:val="00314819"/>
    <w:rsid w:val="0031612E"/>
    <w:rsid w:val="00330932"/>
    <w:rsid w:val="00335E0E"/>
    <w:rsid w:val="00360B0E"/>
    <w:rsid w:val="00377098"/>
    <w:rsid w:val="00381009"/>
    <w:rsid w:val="0038504E"/>
    <w:rsid w:val="003858D5"/>
    <w:rsid w:val="003B2692"/>
    <w:rsid w:val="003C2CDF"/>
    <w:rsid w:val="003C69DD"/>
    <w:rsid w:val="003D4B50"/>
    <w:rsid w:val="003F0366"/>
    <w:rsid w:val="0042081D"/>
    <w:rsid w:val="00423508"/>
    <w:rsid w:val="004510B2"/>
    <w:rsid w:val="004609BE"/>
    <w:rsid w:val="00467362"/>
    <w:rsid w:val="004A002F"/>
    <w:rsid w:val="004A25A7"/>
    <w:rsid w:val="004A4455"/>
    <w:rsid w:val="004B4F60"/>
    <w:rsid w:val="004D5A7C"/>
    <w:rsid w:val="004E039F"/>
    <w:rsid w:val="004E053D"/>
    <w:rsid w:val="004E664B"/>
    <w:rsid w:val="004E7219"/>
    <w:rsid w:val="0050050B"/>
    <w:rsid w:val="0050128F"/>
    <w:rsid w:val="00523279"/>
    <w:rsid w:val="0052392A"/>
    <w:rsid w:val="0053503C"/>
    <w:rsid w:val="005403F2"/>
    <w:rsid w:val="00543269"/>
    <w:rsid w:val="0055003D"/>
    <w:rsid w:val="00553801"/>
    <w:rsid w:val="00563A0B"/>
    <w:rsid w:val="005717E9"/>
    <w:rsid w:val="005B3CF6"/>
    <w:rsid w:val="005B5026"/>
    <w:rsid w:val="005C58F7"/>
    <w:rsid w:val="005C7276"/>
    <w:rsid w:val="005E1F43"/>
    <w:rsid w:val="005F1CF1"/>
    <w:rsid w:val="005F4BD2"/>
    <w:rsid w:val="005F6D3C"/>
    <w:rsid w:val="005F75ED"/>
    <w:rsid w:val="005F7CFF"/>
    <w:rsid w:val="00624E80"/>
    <w:rsid w:val="006335D0"/>
    <w:rsid w:val="00636F6F"/>
    <w:rsid w:val="0064310D"/>
    <w:rsid w:val="00660A27"/>
    <w:rsid w:val="00661E49"/>
    <w:rsid w:val="0067655C"/>
    <w:rsid w:val="00685FB2"/>
    <w:rsid w:val="00691304"/>
    <w:rsid w:val="006913B6"/>
    <w:rsid w:val="006B7429"/>
    <w:rsid w:val="006D5288"/>
    <w:rsid w:val="006D640A"/>
    <w:rsid w:val="0071028C"/>
    <w:rsid w:val="00710E33"/>
    <w:rsid w:val="00712B2C"/>
    <w:rsid w:val="00717A8C"/>
    <w:rsid w:val="00726BDF"/>
    <w:rsid w:val="007429FA"/>
    <w:rsid w:val="00762BB9"/>
    <w:rsid w:val="007724D1"/>
    <w:rsid w:val="00775CAB"/>
    <w:rsid w:val="007873D5"/>
    <w:rsid w:val="007A6067"/>
    <w:rsid w:val="007B4EE7"/>
    <w:rsid w:val="007D6975"/>
    <w:rsid w:val="007E19BC"/>
    <w:rsid w:val="007F4369"/>
    <w:rsid w:val="00806625"/>
    <w:rsid w:val="00811901"/>
    <w:rsid w:val="008373EA"/>
    <w:rsid w:val="00850757"/>
    <w:rsid w:val="0086463D"/>
    <w:rsid w:val="00890BCD"/>
    <w:rsid w:val="00895F6D"/>
    <w:rsid w:val="008C2D2B"/>
    <w:rsid w:val="008C3396"/>
    <w:rsid w:val="009060CB"/>
    <w:rsid w:val="00934E3C"/>
    <w:rsid w:val="00950989"/>
    <w:rsid w:val="00985437"/>
    <w:rsid w:val="0099010B"/>
    <w:rsid w:val="009B5EAF"/>
    <w:rsid w:val="009C7D4A"/>
    <w:rsid w:val="009C7EB1"/>
    <w:rsid w:val="009D744F"/>
    <w:rsid w:val="009F768E"/>
    <w:rsid w:val="00A13CA8"/>
    <w:rsid w:val="00A427E8"/>
    <w:rsid w:val="00A66652"/>
    <w:rsid w:val="00A922B4"/>
    <w:rsid w:val="00A95921"/>
    <w:rsid w:val="00AB2DD9"/>
    <w:rsid w:val="00AD1A09"/>
    <w:rsid w:val="00AE43FD"/>
    <w:rsid w:val="00AE4646"/>
    <w:rsid w:val="00AE7510"/>
    <w:rsid w:val="00AF4889"/>
    <w:rsid w:val="00B011E4"/>
    <w:rsid w:val="00B11EAE"/>
    <w:rsid w:val="00B133ED"/>
    <w:rsid w:val="00B40E99"/>
    <w:rsid w:val="00B45602"/>
    <w:rsid w:val="00B50CA0"/>
    <w:rsid w:val="00B51709"/>
    <w:rsid w:val="00B63B5B"/>
    <w:rsid w:val="00B669D5"/>
    <w:rsid w:val="00B72AF4"/>
    <w:rsid w:val="00B76DEA"/>
    <w:rsid w:val="00B83EAA"/>
    <w:rsid w:val="00BB20C3"/>
    <w:rsid w:val="00BB37BF"/>
    <w:rsid w:val="00BB5EFD"/>
    <w:rsid w:val="00BB6BF7"/>
    <w:rsid w:val="00BF1497"/>
    <w:rsid w:val="00BF55EE"/>
    <w:rsid w:val="00C0241E"/>
    <w:rsid w:val="00C1161C"/>
    <w:rsid w:val="00C11B8B"/>
    <w:rsid w:val="00C1552F"/>
    <w:rsid w:val="00C220E3"/>
    <w:rsid w:val="00C2719B"/>
    <w:rsid w:val="00C32C83"/>
    <w:rsid w:val="00C45404"/>
    <w:rsid w:val="00C51318"/>
    <w:rsid w:val="00C81D11"/>
    <w:rsid w:val="00C81E1B"/>
    <w:rsid w:val="00C84E31"/>
    <w:rsid w:val="00C874E5"/>
    <w:rsid w:val="00CC52EC"/>
    <w:rsid w:val="00D31DC8"/>
    <w:rsid w:val="00D47FF3"/>
    <w:rsid w:val="00D5155E"/>
    <w:rsid w:val="00D51FBF"/>
    <w:rsid w:val="00D603CB"/>
    <w:rsid w:val="00D609D1"/>
    <w:rsid w:val="00D63EA5"/>
    <w:rsid w:val="00D67FAC"/>
    <w:rsid w:val="00D72565"/>
    <w:rsid w:val="00D824D3"/>
    <w:rsid w:val="00D93F38"/>
    <w:rsid w:val="00D942B1"/>
    <w:rsid w:val="00DA12A6"/>
    <w:rsid w:val="00DC08D2"/>
    <w:rsid w:val="00DD2632"/>
    <w:rsid w:val="00DD7855"/>
    <w:rsid w:val="00DE0B69"/>
    <w:rsid w:val="00DE3C90"/>
    <w:rsid w:val="00DF6F79"/>
    <w:rsid w:val="00E31F2A"/>
    <w:rsid w:val="00E33BD7"/>
    <w:rsid w:val="00E45030"/>
    <w:rsid w:val="00E7157F"/>
    <w:rsid w:val="00E762B6"/>
    <w:rsid w:val="00E92562"/>
    <w:rsid w:val="00E94DE1"/>
    <w:rsid w:val="00EB40E2"/>
    <w:rsid w:val="00EE53F4"/>
    <w:rsid w:val="00F04AEE"/>
    <w:rsid w:val="00F11899"/>
    <w:rsid w:val="00F2191E"/>
    <w:rsid w:val="00F41795"/>
    <w:rsid w:val="00F50280"/>
    <w:rsid w:val="00F56A92"/>
    <w:rsid w:val="00F64BAE"/>
    <w:rsid w:val="00F65065"/>
    <w:rsid w:val="00F65CEF"/>
    <w:rsid w:val="00FA2F9E"/>
    <w:rsid w:val="00FB0F22"/>
    <w:rsid w:val="00FC1BEE"/>
    <w:rsid w:val="00FC7783"/>
    <w:rsid w:val="00FD01B0"/>
    <w:rsid w:val="00FF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4742"/>
  <w15:docId w15:val="{A14316BB-CA55-4C73-86E2-EB05F703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8"/>
    <w:pPr>
      <w:spacing w:after="0" w:line="240" w:lineRule="auto"/>
    </w:pPr>
    <w:tblPr>
      <w:tblStyleRowBandSize w:val="1"/>
      <w:tblStyleColBandSize w:val="1"/>
      <w:tblCellMar>
        <w:left w:w="255" w:type="dxa"/>
        <w:right w:w="108" w:type="dxa"/>
      </w:tblCellMar>
    </w:tblPr>
  </w:style>
  <w:style w:type="table" w:customStyle="1" w:styleId="a1">
    <w:basedOn w:val="TableNormal8"/>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semiHidden/>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6"/>
    <w:pPr>
      <w:spacing w:after="0" w:line="240" w:lineRule="auto"/>
    </w:pPr>
    <w:tblPr>
      <w:tblStyleRowBandSize w:val="1"/>
      <w:tblStyleColBandSize w:val="1"/>
      <w:tblCellMar>
        <w:left w:w="255" w:type="dxa"/>
        <w:right w:w="108" w:type="dxa"/>
      </w:tblCellMar>
    </w:tblPr>
  </w:style>
  <w:style w:type="table" w:customStyle="1" w:styleId="a3">
    <w:basedOn w:val="TableNormal5"/>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4"/>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3"/>
    <w:pPr>
      <w:spacing w:after="0" w:line="240" w:lineRule="auto"/>
    </w:pPr>
    <w:tblPr>
      <w:tblStyleRowBandSize w:val="1"/>
      <w:tblStyleColBandSize w:val="1"/>
      <w:tblCellMar>
        <w:left w:w="255" w:type="dxa"/>
        <w:right w:w="108" w:type="dxa"/>
      </w:tblCellMar>
    </w:tblPr>
  </w:style>
  <w:style w:type="table" w:customStyle="1" w:styleId="a6">
    <w:basedOn w:val="TableNormal2"/>
    <w:pPr>
      <w:spacing w:after="0" w:line="240" w:lineRule="auto"/>
    </w:pPr>
    <w:tblPr>
      <w:tblStyleRowBandSize w:val="1"/>
      <w:tblStyleColBandSize w:val="1"/>
      <w:tblCellMar>
        <w:left w:w="255" w:type="dxa"/>
        <w:right w:w="108" w:type="dxa"/>
      </w:tblCellMar>
    </w:tblPr>
  </w:style>
  <w:style w:type="table" w:customStyle="1" w:styleId="a7">
    <w:basedOn w:val="TableNormal1"/>
    <w:pPr>
      <w:spacing w:after="0" w:line="240" w:lineRule="auto"/>
    </w:pPr>
    <w:tblPr>
      <w:tblStyleRowBandSize w:val="1"/>
      <w:tblStyleColBandSize w:val="1"/>
      <w:tblCellMar>
        <w:left w:w="255" w:type="dxa"/>
        <w:right w:w="108" w:type="dxa"/>
      </w:tblCellMar>
    </w:tblPr>
  </w:style>
  <w:style w:type="table" w:customStyle="1" w:styleId="a8">
    <w:basedOn w:val="TableNormal1"/>
    <w:pPr>
      <w:spacing w:after="0" w:line="240" w:lineRule="auto"/>
    </w:pPr>
    <w:tblPr>
      <w:tblStyleRowBandSize w:val="1"/>
      <w:tblStyleColBandSize w:val="1"/>
      <w:tblCellMar>
        <w:left w:w="25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1665082779">
          <w:marLeft w:val="274"/>
          <w:marRight w:val="0"/>
          <w:marTop w:val="0"/>
          <w:marBottom w:val="0"/>
          <w:divBdr>
            <w:top w:val="none" w:sz="0" w:space="0" w:color="auto"/>
            <w:left w:val="none" w:sz="0" w:space="0" w:color="auto"/>
            <w:bottom w:val="none" w:sz="0" w:space="0" w:color="auto"/>
            <w:right w:val="none" w:sz="0" w:space="0" w:color="auto"/>
          </w:divBdr>
        </w:div>
        <w:div w:id="72765440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701780476">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430779976">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sChild>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www.youtube.com/embed/_mpY4XCXELw?feature=oemb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media.budim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chal.wrzosek@budim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2038</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Zuber110</dc:creator>
  <cp:lastModifiedBy>Zuber 110</cp:lastModifiedBy>
  <cp:revision>3</cp:revision>
  <cp:lastPrinted>2021-02-23T09:27:00Z</cp:lastPrinted>
  <dcterms:created xsi:type="dcterms:W3CDTF">2021-02-24T08:40:00Z</dcterms:created>
  <dcterms:modified xsi:type="dcterms:W3CDTF">2021-02-24T08:42:00Z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2f611-ee7c-4b0a-a4d4-1063a229fa8e_Enabled">
    <vt:lpwstr>true</vt:lpwstr>
  </property>
  <property fmtid="{D5CDD505-2E9C-101B-9397-08002B2CF9AE}" pid="3" name="MSIP_Label_c402f611-ee7c-4b0a-a4d4-1063a229fa8e_SetDate">
    <vt:lpwstr>2020-11-27T10:54:32Z</vt:lpwstr>
  </property>
  <property fmtid="{D5CDD505-2E9C-101B-9397-08002B2CF9AE}" pid="4" name="MSIP_Label_c402f611-ee7c-4b0a-a4d4-1063a229fa8e_Method">
    <vt:lpwstr>Standard</vt:lpwstr>
  </property>
  <property fmtid="{D5CDD505-2E9C-101B-9397-08002B2CF9AE}" pid="5" name="MSIP_Label_c402f611-ee7c-4b0a-a4d4-1063a229fa8e_Name">
    <vt:lpwstr>Do użytku wew.</vt:lpwstr>
  </property>
  <property fmtid="{D5CDD505-2E9C-101B-9397-08002B2CF9AE}" pid="6" name="MSIP_Label_c402f611-ee7c-4b0a-a4d4-1063a229fa8e_SiteId">
    <vt:lpwstr>66a13ed4-5c17-4ee8-ba28-778da8cdd7d4</vt:lpwstr>
  </property>
  <property fmtid="{D5CDD505-2E9C-101B-9397-08002B2CF9AE}" pid="7" name="MSIP_Label_c402f611-ee7c-4b0a-a4d4-1063a229fa8e_ActionId">
    <vt:lpwstr>b2c994b9-c573-4f5c-a2d1-22c051bac723</vt:lpwstr>
  </property>
  <property fmtid="{D5CDD505-2E9C-101B-9397-08002B2CF9AE}" pid="8" name="MSIP_Label_c402f611-ee7c-4b0a-a4d4-1063a229fa8e_ContentBits">
    <vt:lpwstr>0</vt:lpwstr>
  </property>
</Properties>
</file>