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0A5C1079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  <w:t xml:space="preserve">Warszawa, </w:t>
      </w:r>
      <w:r w:rsidR="00F33013">
        <w:rPr>
          <w:rFonts w:ascii="Tahoma" w:eastAsia="Tahoma" w:hAnsi="Tahoma" w:cs="Tahoma"/>
          <w:sz w:val="20"/>
          <w:szCs w:val="20"/>
        </w:rPr>
        <w:t>8</w:t>
      </w:r>
      <w:r w:rsidR="00914DFD">
        <w:rPr>
          <w:rFonts w:ascii="Tahoma" w:eastAsia="Tahoma" w:hAnsi="Tahoma" w:cs="Tahoma"/>
          <w:sz w:val="20"/>
          <w:szCs w:val="20"/>
        </w:rPr>
        <w:t xml:space="preserve"> </w:t>
      </w:r>
      <w:r w:rsidR="00693614">
        <w:rPr>
          <w:rFonts w:ascii="Tahoma" w:eastAsia="Tahoma" w:hAnsi="Tahoma" w:cs="Tahoma"/>
          <w:sz w:val="20"/>
          <w:szCs w:val="20"/>
        </w:rPr>
        <w:t>marca</w:t>
      </w:r>
      <w:r w:rsidR="00914DFD">
        <w:rPr>
          <w:rFonts w:ascii="Tahoma" w:eastAsia="Tahoma" w:hAnsi="Tahoma" w:cs="Tahoma"/>
          <w:sz w:val="20"/>
          <w:szCs w:val="20"/>
        </w:rPr>
        <w:t xml:space="preserve"> </w:t>
      </w:r>
      <w:r w:rsidR="00765ED2" w:rsidRPr="00011E5A">
        <w:rPr>
          <w:rFonts w:ascii="Tahoma" w:eastAsia="Tahoma" w:hAnsi="Tahoma" w:cs="Tahoma"/>
          <w:sz w:val="20"/>
          <w:szCs w:val="20"/>
          <w:highlight w:val="white"/>
        </w:rPr>
        <w:t>2024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1CE6DB53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784C66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Budownictwo drogowe</w:t>
            </w:r>
            <w:r w:rsidR="00914DFD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  <w:r w:rsidR="00011E5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</w:t>
            </w:r>
            <w:r w:rsidR="00784C66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Czechy </w:t>
            </w:r>
          </w:p>
          <w:p w14:paraId="2D3EA7EE" w14:textId="158B02A3" w:rsidR="00784C66" w:rsidRDefault="00784C66" w:rsidP="0078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784C6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z kolejnym kont</w:t>
            </w:r>
            <w:r w:rsidR="00B16AE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r</w:t>
            </w:r>
            <w:r w:rsidRPr="00784C6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aktem w Czechach </w:t>
            </w:r>
          </w:p>
          <w:p w14:paraId="1989984C" w14:textId="5A23546A" w:rsidR="00784C66" w:rsidRDefault="00784C66" w:rsidP="00914DFD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Dyrekcja Dróg i Autostrad Republiki Czeskiej </w:t>
            </w:r>
            <w:r w:rsidR="0045649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(RSD) 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wybrała ofertę Budimex, jako najkorzystniejszą w ‎postępowaniu przetargowym na budowę 7,6-kilometrowego odcinka autostrady D35 z Džbánova do Litomyšla. </w:t>
            </w:r>
            <w:r w:rsidR="0069361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7 marca strony podpisały umowę 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o wartości </w:t>
            </w:r>
            <w:r w:rsidR="00E817C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641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mln zł</w:t>
            </w:r>
            <w:r w:rsidR="00EB246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(</w:t>
            </w:r>
            <w:r w:rsidR="00EB2467" w:rsidRPr="00EB246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3</w:t>
            </w:r>
            <w:r w:rsidR="00772CC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 </w:t>
            </w:r>
            <w:r w:rsidR="00EB2467" w:rsidRPr="00EB246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423</w:t>
            </w:r>
            <w:r w:rsidR="00772CC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mln KCZ)</w:t>
            </w:r>
            <w:r w:rsidR="006A7FE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W ramach kontraktu 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powstanie łącznie </w:t>
            </w:r>
            <w:r w:rsidR="00E817C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147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obiektów budowalnych, w tym </w:t>
            </w:r>
            <w:r w:rsidR="001961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mosty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="008D59C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wiadukty, estakady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 </w:t>
            </w:r>
            <w:r w:rsidR="00B367F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6,3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km ekranów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dźwiękochłonnych. 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Przebudowanych zostanie także </w:t>
            </w:r>
            <w:r w:rsidR="0074203E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około 16</w:t>
            </w:r>
            <w:r w:rsidRPr="00784C6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km dróg lokalnych. Budowa odcinka ma zakończyć się w 2027 roku. </w:t>
            </w:r>
          </w:p>
          <w:p w14:paraId="11436911" w14:textId="77777777" w:rsidR="00784C66" w:rsidRPr="00784C66" w:rsidRDefault="00784C66" w:rsidP="0078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>Realizowany przez polską firmę odcinek jest częścią przyszłej autostrady D35 – alternatywnej drogi dla zatłoczonej autostrady D1 oraz ważnej części systemu transportowego i sieci drogowej Republiki Czeskiej. D35 stanowi północne połączenie Czech i Moraw oraz pełni duże znaczenie w ruchu międzynarodowym.</w:t>
            </w:r>
          </w:p>
          <w:p w14:paraId="6222689F" w14:textId="610E37CE" w:rsidR="00784C66" w:rsidRPr="00784C66" w:rsidRDefault="00784C66" w:rsidP="0078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84C6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</w:t>
            </w:r>
            <w:r w:rsidR="0045649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Wybranie naszej oferty</w:t>
            </w:r>
            <w:r w:rsidRPr="00784C6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wzmacnia pozycję </w:t>
            </w:r>
            <w:r w:rsidR="0045649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Budimeksu </w:t>
            </w:r>
            <w:r w:rsidRPr="00784C6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na rynku czeskim, gdzie w ciągu ostatnich 2 lat złożyliśmy ponad 30 ofert na łączną sumę 65 mld koron. Budowa tak ważnego dla krajowej sieci dróg odcinka to także doskonała okazja na przeniesienie za granicę naszego know-how oraz najlepszych praktyk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,</w:t>
            </w:r>
            <w:r w:rsidRPr="00784C6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zdobytych podczas realizacji sete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k kilometrów autostrad w Polsce</w:t>
            </w:r>
            <w:r w:rsidRPr="00784C6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B16AE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- </w:t>
            </w:r>
            <w:r w:rsidR="00B16AE7" w:rsidRPr="0089417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mówi </w:t>
            </w:r>
            <w:r w:rsidR="00B16AE7">
              <w:rPr>
                <w:rFonts w:ascii="Tahoma" w:eastAsia="Tahoma" w:hAnsi="Tahoma" w:cs="Tahoma"/>
                <w:color w:val="747678"/>
                <w:sz w:val="18"/>
                <w:szCs w:val="18"/>
              </w:rPr>
              <w:t>Artur Popko</w:t>
            </w:r>
            <w:r w:rsidR="00B16AE7" w:rsidRPr="0089417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</w:t>
            </w:r>
            <w:r w:rsidR="00B16AE7">
              <w:rPr>
                <w:rFonts w:ascii="Tahoma" w:eastAsia="Tahoma" w:hAnsi="Tahoma" w:cs="Tahoma"/>
                <w:color w:val="747678"/>
                <w:sz w:val="18"/>
                <w:szCs w:val="18"/>
              </w:rPr>
              <w:t>Prezes Zarządu Budimex SA</w:t>
            </w:r>
            <w:r w:rsidR="00B16AE7" w:rsidRPr="0089417E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5D14857C" w14:textId="5FBB6B6D" w:rsidR="00784C66" w:rsidRPr="00784C66" w:rsidRDefault="003773EF" w:rsidP="0078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DE606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Trasa budowy odcinka, mającej rozpocząć się na początku II kwartału </w:t>
            </w:r>
            <w:r w:rsidRPr="006A7FE8">
              <w:rPr>
                <w:rFonts w:ascii="Tahoma" w:eastAsia="Tahoma" w:hAnsi="Tahoma" w:cs="Tahoma"/>
                <w:color w:val="747678"/>
                <w:sz w:val="18"/>
                <w:szCs w:val="18"/>
              </w:rPr>
              <w:t>2024,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784C66"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rozpoczyna się za </w:t>
            </w:r>
            <w:r w:rsidR="00877F58">
              <w:rPr>
                <w:rFonts w:ascii="Tahoma" w:eastAsia="Tahoma" w:hAnsi="Tahoma" w:cs="Tahoma"/>
                <w:color w:val="747678"/>
                <w:sz w:val="18"/>
                <w:szCs w:val="18"/>
              </w:rPr>
              <w:t>węzłem</w:t>
            </w:r>
            <w:r w:rsidR="00784C66"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Džbánov, gdzie łączy się z poprzednim odcinkiem tej autostrady D35 Vysoké Mýto – Džbánov. Następnie przebiega przez rozproszoną zabudowę na południe od istniejącej drogi I/35, a po jej przecięciu biegnie </w:t>
            </w:r>
            <w:r w:rsidR="00877F58">
              <w:rPr>
                <w:rFonts w:ascii="Tahoma" w:eastAsia="Tahoma" w:hAnsi="Tahoma" w:cs="Tahoma"/>
                <w:color w:val="747678"/>
                <w:sz w:val="18"/>
                <w:szCs w:val="18"/>
              </w:rPr>
              <w:t>po północno-zachodniej stronie</w:t>
            </w:r>
            <w:r w:rsidR="00784C66"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Litomyšla i łączy się z odcinkiem autostrady D35 Litomyšl – Janov.</w:t>
            </w:r>
          </w:p>
          <w:p w14:paraId="1B7D952A" w14:textId="428ACD9B" w:rsidR="0031670C" w:rsidRDefault="0031670C" w:rsidP="0078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31670C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ramach prac Budimex wybuduje główny odcinek drogi o długości 7 589 metrów ‎oraz 9 obiektów mostowych o łącznej długości 1 137 metrów (w tym dwie ‎estakady). Rozwiązane zostaną kolizje z drogami lokalnymi oraz istniejącą ‎infrastrukturą podziemną i naziemną (kolizje elektryczne, gazowe)‎</w:t>
            </w:r>
            <w:r w:rsidR="0078151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</w:p>
          <w:p w14:paraId="6D5D962C" w14:textId="7A25929D" w:rsidR="007732B3" w:rsidRPr="00784C66" w:rsidRDefault="007E355B" w:rsidP="0078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-</w:t>
            </w:r>
            <w:r w:rsidR="00972EC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652CA7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Pierwszym krokiem</w:t>
            </w:r>
            <w:r w:rsidR="00972EC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po podpisaniu umowy</w:t>
            </w:r>
            <w:r w:rsidR="00652CA7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jest przejęcie placu budowy, następnie</w:t>
            </w:r>
            <w:r w:rsidR="002E6671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71640C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zaprojektowanie </w:t>
            </w:r>
            <w:r w:rsidR="00020978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inwestycji i</w:t>
            </w:r>
            <w:r w:rsidR="008D516C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zaakceptowanie jej z klientem. Do współpracy wybraliśmy sprawdzone czeskie firmy. </w:t>
            </w:r>
            <w:r w:rsidR="00F43F32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Biorąc pod uwagę skalę </w:t>
            </w:r>
            <w:r w:rsidR="009952FE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naszej działalności na rynku, </w:t>
            </w:r>
            <w:r w:rsidR="001E3E08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lastRenderedPageBreak/>
              <w:t xml:space="preserve">opieramy się </w:t>
            </w:r>
            <w:r w:rsidR="00EC4D78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także </w:t>
            </w:r>
            <w:r w:rsidR="001E3E08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na zasobach własnych, ale </w:t>
            </w:r>
            <w:r w:rsidR="009952FE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stale poszukujemy </w:t>
            </w:r>
            <w:r w:rsidR="001E3E08" w:rsidRPr="0015393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partnerów</w:t>
            </w:r>
            <w:r w:rsidR="00DA3A8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F52F2A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budowlanych</w:t>
            </w:r>
            <w:r w:rsidR="0095439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7732B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mówi Krzysztof Sokołowski, </w:t>
            </w:r>
            <w:r w:rsidR="006A7FE8">
              <w:rPr>
                <w:rFonts w:ascii="Tahoma" w:eastAsia="Tahoma" w:hAnsi="Tahoma" w:cs="Tahoma"/>
                <w:color w:val="747678"/>
                <w:sz w:val="18"/>
                <w:szCs w:val="18"/>
              </w:rPr>
              <w:t>Country Manager</w:t>
            </w:r>
            <w:r w:rsidR="007732B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Budimeksie.</w:t>
            </w:r>
          </w:p>
          <w:p w14:paraId="17ED459C" w14:textId="6B51C494" w:rsidR="00784C66" w:rsidRPr="00784C66" w:rsidRDefault="00784C66" w:rsidP="0078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To kolejny </w:t>
            </w:r>
            <w:r w:rsidR="0045649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przetarg, w którym </w:t>
            </w:r>
            <w:r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>polski generaln</w:t>
            </w:r>
            <w:r w:rsidR="00456496">
              <w:rPr>
                <w:rFonts w:ascii="Tahoma" w:eastAsia="Tahoma" w:hAnsi="Tahoma" w:cs="Tahoma"/>
                <w:color w:val="747678"/>
                <w:sz w:val="18"/>
                <w:szCs w:val="18"/>
              </w:rPr>
              <w:t>y</w:t>
            </w:r>
            <w:r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wykonawc</w:t>
            </w:r>
            <w:r w:rsidR="00456496">
              <w:rPr>
                <w:rFonts w:ascii="Tahoma" w:eastAsia="Tahoma" w:hAnsi="Tahoma" w:cs="Tahoma"/>
                <w:color w:val="747678"/>
                <w:sz w:val="18"/>
                <w:szCs w:val="18"/>
              </w:rPr>
              <w:t>a został doceniony</w:t>
            </w:r>
            <w:r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rynku czeskim. W grudniu 2023 r. Budimex zawarł kontrakt na budowę polderu</w:t>
            </w:r>
            <w:r w:rsidR="0045649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miejscowości Kutrin</w:t>
            </w:r>
            <w:r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W ramach umowy na sumę 113 mln zł wybudowany zostanie suchy zbiornik retencyjny oraz zapora o długości 146 i wysokości 17,8 metrów. Firma czeka także na podpisanie umowy na wykonanie 21-kilometrowego odcinka drogi D11 z czeskiego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Trutnova do granicy z Polską.</w:t>
            </w:r>
          </w:p>
          <w:p w14:paraId="049442AC" w14:textId="25531584" w:rsidR="00784C66" w:rsidRPr="00784C66" w:rsidRDefault="00784C66" w:rsidP="00784C6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ostatnim czasie </w:t>
            </w:r>
            <w:r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znacząco przyspieszył ekspansję na rynki zagraniczne. Polski generalny wykonawc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a od lat z powodzeniem realizuje</w:t>
            </w:r>
            <w:r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kontakty w Niemczech oraz na Słowacji. W grudniu firma podpisała pierwszy kontrakt na Łotwie, gdzie w ramach międzynarodowego konsorcjum wybuduje 230-kilometrowy odcinek linii kolejowej Rail Baltica</w:t>
            </w:r>
            <w:r w:rsidR="0045649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 wartości 16 mld złotych</w:t>
            </w:r>
            <w:r w:rsidRPr="00784C6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</w:p>
          <w:p w14:paraId="2DC5BB1C" w14:textId="40FEB3BB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30A2" w14:textId="77777777" w:rsidR="000566E6" w:rsidRDefault="000566E6">
      <w:pPr>
        <w:spacing w:after="0" w:line="240" w:lineRule="auto"/>
      </w:pPr>
      <w:r>
        <w:separator/>
      </w:r>
    </w:p>
  </w:endnote>
  <w:endnote w:type="continuationSeparator" w:id="0">
    <w:p w14:paraId="41152749" w14:textId="77777777" w:rsidR="000566E6" w:rsidRDefault="000566E6">
      <w:pPr>
        <w:spacing w:after="0" w:line="240" w:lineRule="auto"/>
      </w:pPr>
      <w:r>
        <w:continuationSeparator/>
      </w:r>
    </w:p>
  </w:endnote>
  <w:endnote w:type="continuationNotice" w:id="1">
    <w:p w14:paraId="4C0A719E" w14:textId="77777777" w:rsidR="000566E6" w:rsidRDefault="00056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D189" w14:textId="77777777" w:rsidR="000566E6" w:rsidRDefault="000566E6">
      <w:pPr>
        <w:spacing w:after="0" w:line="240" w:lineRule="auto"/>
      </w:pPr>
      <w:r>
        <w:separator/>
      </w:r>
    </w:p>
  </w:footnote>
  <w:footnote w:type="continuationSeparator" w:id="0">
    <w:p w14:paraId="0CCA4A37" w14:textId="77777777" w:rsidR="000566E6" w:rsidRDefault="000566E6">
      <w:pPr>
        <w:spacing w:after="0" w:line="240" w:lineRule="auto"/>
      </w:pPr>
      <w:r>
        <w:continuationSeparator/>
      </w:r>
    </w:p>
  </w:footnote>
  <w:footnote w:type="continuationNotice" w:id="1">
    <w:p w14:paraId="26B9A3E5" w14:textId="77777777" w:rsidR="000566E6" w:rsidRDefault="00056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0667085">
    <w:abstractNumId w:val="2"/>
  </w:num>
  <w:num w:numId="2" w16cid:durableId="144133106">
    <w:abstractNumId w:val="3"/>
  </w:num>
  <w:num w:numId="3" w16cid:durableId="868185507">
    <w:abstractNumId w:val="1"/>
  </w:num>
  <w:num w:numId="4" w16cid:durableId="172047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11E5A"/>
    <w:rsid w:val="00020978"/>
    <w:rsid w:val="00020BE6"/>
    <w:rsid w:val="00025792"/>
    <w:rsid w:val="00044F06"/>
    <w:rsid w:val="00045270"/>
    <w:rsid w:val="0005467F"/>
    <w:rsid w:val="000566E6"/>
    <w:rsid w:val="00075A5D"/>
    <w:rsid w:val="000851A2"/>
    <w:rsid w:val="00087DBB"/>
    <w:rsid w:val="000A6C3C"/>
    <w:rsid w:val="000B1755"/>
    <w:rsid w:val="000D15EA"/>
    <w:rsid w:val="000D3B26"/>
    <w:rsid w:val="000E1B21"/>
    <w:rsid w:val="000E432E"/>
    <w:rsid w:val="00105FB5"/>
    <w:rsid w:val="0011247D"/>
    <w:rsid w:val="00116246"/>
    <w:rsid w:val="00125D50"/>
    <w:rsid w:val="00153939"/>
    <w:rsid w:val="00170C68"/>
    <w:rsid w:val="00172D1D"/>
    <w:rsid w:val="001746AB"/>
    <w:rsid w:val="0018791B"/>
    <w:rsid w:val="00192890"/>
    <w:rsid w:val="00195F51"/>
    <w:rsid w:val="00196166"/>
    <w:rsid w:val="001C6FB2"/>
    <w:rsid w:val="001C765C"/>
    <w:rsid w:val="001E0BD0"/>
    <w:rsid w:val="001E2A10"/>
    <w:rsid w:val="001E3510"/>
    <w:rsid w:val="001E3E08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2E6671"/>
    <w:rsid w:val="002F1071"/>
    <w:rsid w:val="00307758"/>
    <w:rsid w:val="0031670C"/>
    <w:rsid w:val="00326F2D"/>
    <w:rsid w:val="00343058"/>
    <w:rsid w:val="00343C19"/>
    <w:rsid w:val="00360101"/>
    <w:rsid w:val="00365D17"/>
    <w:rsid w:val="003773EF"/>
    <w:rsid w:val="00382064"/>
    <w:rsid w:val="003841EF"/>
    <w:rsid w:val="00391521"/>
    <w:rsid w:val="00396AA9"/>
    <w:rsid w:val="003A4D98"/>
    <w:rsid w:val="003B1DAE"/>
    <w:rsid w:val="003C5333"/>
    <w:rsid w:val="00417411"/>
    <w:rsid w:val="00425428"/>
    <w:rsid w:val="00440954"/>
    <w:rsid w:val="00451FBE"/>
    <w:rsid w:val="00454DF7"/>
    <w:rsid w:val="00456496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4395F"/>
    <w:rsid w:val="005726F4"/>
    <w:rsid w:val="00581480"/>
    <w:rsid w:val="00597E08"/>
    <w:rsid w:val="005C16C3"/>
    <w:rsid w:val="005C7B13"/>
    <w:rsid w:val="005D7BA2"/>
    <w:rsid w:val="005E5391"/>
    <w:rsid w:val="005E6E83"/>
    <w:rsid w:val="00602232"/>
    <w:rsid w:val="00617FB9"/>
    <w:rsid w:val="00621025"/>
    <w:rsid w:val="006230EB"/>
    <w:rsid w:val="00652CA7"/>
    <w:rsid w:val="006624BA"/>
    <w:rsid w:val="00664B42"/>
    <w:rsid w:val="006774E1"/>
    <w:rsid w:val="00683A00"/>
    <w:rsid w:val="00693614"/>
    <w:rsid w:val="006944A4"/>
    <w:rsid w:val="006A7FE8"/>
    <w:rsid w:val="006B23E5"/>
    <w:rsid w:val="0071640C"/>
    <w:rsid w:val="00733A2E"/>
    <w:rsid w:val="00734D0A"/>
    <w:rsid w:val="00737601"/>
    <w:rsid w:val="0074203E"/>
    <w:rsid w:val="00753410"/>
    <w:rsid w:val="007619F3"/>
    <w:rsid w:val="00764B40"/>
    <w:rsid w:val="00765ED2"/>
    <w:rsid w:val="00772CC1"/>
    <w:rsid w:val="007732B3"/>
    <w:rsid w:val="00780EA5"/>
    <w:rsid w:val="00781517"/>
    <w:rsid w:val="00784C66"/>
    <w:rsid w:val="007866B6"/>
    <w:rsid w:val="0079464C"/>
    <w:rsid w:val="007A0CF3"/>
    <w:rsid w:val="007A3907"/>
    <w:rsid w:val="007B1336"/>
    <w:rsid w:val="007C63DE"/>
    <w:rsid w:val="007C6A6A"/>
    <w:rsid w:val="007E355B"/>
    <w:rsid w:val="00800D2C"/>
    <w:rsid w:val="008121D0"/>
    <w:rsid w:val="00815A09"/>
    <w:rsid w:val="00815B55"/>
    <w:rsid w:val="00821277"/>
    <w:rsid w:val="00821D89"/>
    <w:rsid w:val="00823657"/>
    <w:rsid w:val="008363EC"/>
    <w:rsid w:val="00845EC4"/>
    <w:rsid w:val="008528AF"/>
    <w:rsid w:val="00862E0C"/>
    <w:rsid w:val="008745A4"/>
    <w:rsid w:val="00876DE2"/>
    <w:rsid w:val="00877F58"/>
    <w:rsid w:val="008805C6"/>
    <w:rsid w:val="00885B0E"/>
    <w:rsid w:val="008A1719"/>
    <w:rsid w:val="008A79BD"/>
    <w:rsid w:val="008B2324"/>
    <w:rsid w:val="008B7319"/>
    <w:rsid w:val="008D2B88"/>
    <w:rsid w:val="008D516C"/>
    <w:rsid w:val="008D59C0"/>
    <w:rsid w:val="00910344"/>
    <w:rsid w:val="00910B91"/>
    <w:rsid w:val="00914DFD"/>
    <w:rsid w:val="009202BE"/>
    <w:rsid w:val="009259BC"/>
    <w:rsid w:val="00930A84"/>
    <w:rsid w:val="00942232"/>
    <w:rsid w:val="0094259B"/>
    <w:rsid w:val="009462D1"/>
    <w:rsid w:val="00952E46"/>
    <w:rsid w:val="0095439C"/>
    <w:rsid w:val="00972ECF"/>
    <w:rsid w:val="00984ECE"/>
    <w:rsid w:val="00994841"/>
    <w:rsid w:val="009952FE"/>
    <w:rsid w:val="009967C2"/>
    <w:rsid w:val="009A2909"/>
    <w:rsid w:val="009B1449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16AE7"/>
    <w:rsid w:val="00B202B8"/>
    <w:rsid w:val="00B267EF"/>
    <w:rsid w:val="00B367F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3FD1"/>
    <w:rsid w:val="00BB4675"/>
    <w:rsid w:val="00BE6F36"/>
    <w:rsid w:val="00C448E6"/>
    <w:rsid w:val="00C5373F"/>
    <w:rsid w:val="00C64A91"/>
    <w:rsid w:val="00C74D83"/>
    <w:rsid w:val="00C7678B"/>
    <w:rsid w:val="00C92F03"/>
    <w:rsid w:val="00CA3C4C"/>
    <w:rsid w:val="00CA61D7"/>
    <w:rsid w:val="00CB4A4E"/>
    <w:rsid w:val="00CE4B1E"/>
    <w:rsid w:val="00CE4F9D"/>
    <w:rsid w:val="00CF1029"/>
    <w:rsid w:val="00CF331B"/>
    <w:rsid w:val="00CF652F"/>
    <w:rsid w:val="00D0541E"/>
    <w:rsid w:val="00D16F74"/>
    <w:rsid w:val="00D203C5"/>
    <w:rsid w:val="00D40B49"/>
    <w:rsid w:val="00D431B3"/>
    <w:rsid w:val="00D55476"/>
    <w:rsid w:val="00D62673"/>
    <w:rsid w:val="00D63FCB"/>
    <w:rsid w:val="00D67D0B"/>
    <w:rsid w:val="00D77591"/>
    <w:rsid w:val="00D940A2"/>
    <w:rsid w:val="00D97020"/>
    <w:rsid w:val="00DA0F61"/>
    <w:rsid w:val="00DA3A8E"/>
    <w:rsid w:val="00DA3BE0"/>
    <w:rsid w:val="00DB12FC"/>
    <w:rsid w:val="00DC033A"/>
    <w:rsid w:val="00DD2AAC"/>
    <w:rsid w:val="00DD67EE"/>
    <w:rsid w:val="00DE3C90"/>
    <w:rsid w:val="00DE6061"/>
    <w:rsid w:val="00DF25E5"/>
    <w:rsid w:val="00E075B9"/>
    <w:rsid w:val="00E162E5"/>
    <w:rsid w:val="00E2443E"/>
    <w:rsid w:val="00E31E81"/>
    <w:rsid w:val="00E41DD0"/>
    <w:rsid w:val="00E43C68"/>
    <w:rsid w:val="00E47C45"/>
    <w:rsid w:val="00E53EE2"/>
    <w:rsid w:val="00E63CBB"/>
    <w:rsid w:val="00E71071"/>
    <w:rsid w:val="00E725B5"/>
    <w:rsid w:val="00E74C2B"/>
    <w:rsid w:val="00E75C19"/>
    <w:rsid w:val="00E817C3"/>
    <w:rsid w:val="00E8571A"/>
    <w:rsid w:val="00E8668D"/>
    <w:rsid w:val="00EA0B84"/>
    <w:rsid w:val="00EA2FF8"/>
    <w:rsid w:val="00EB2467"/>
    <w:rsid w:val="00EB307C"/>
    <w:rsid w:val="00EC4D78"/>
    <w:rsid w:val="00ED4BD3"/>
    <w:rsid w:val="00ED5AE6"/>
    <w:rsid w:val="00EF4765"/>
    <w:rsid w:val="00F00688"/>
    <w:rsid w:val="00F0663D"/>
    <w:rsid w:val="00F1073B"/>
    <w:rsid w:val="00F33013"/>
    <w:rsid w:val="00F43F32"/>
    <w:rsid w:val="00F52F2A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ED649E-3A0D-4ED9-A9E0-897D66F493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Zyglewska, Diana</cp:lastModifiedBy>
  <cp:revision>40</cp:revision>
  <dcterms:created xsi:type="dcterms:W3CDTF">2024-02-16T09:18:00Z</dcterms:created>
  <dcterms:modified xsi:type="dcterms:W3CDTF">2024-03-08T08:44:00Z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