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0DE4A0C6" w:rsidR="00D824D3" w:rsidRPr="00224D91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>Warszawa,</w:t>
      </w:r>
      <w:r w:rsidR="00E35E1A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025B15">
        <w:rPr>
          <w:rFonts w:ascii="Tahoma" w:eastAsia="Tahoma" w:hAnsi="Tahoma" w:cs="Tahoma"/>
          <w:color w:val="808080"/>
          <w:sz w:val="20"/>
          <w:szCs w:val="20"/>
        </w:rPr>
        <w:t>2</w:t>
      </w:r>
      <w:r w:rsidR="000320CA">
        <w:rPr>
          <w:rFonts w:ascii="Tahoma" w:eastAsia="Tahoma" w:hAnsi="Tahoma" w:cs="Tahoma"/>
          <w:color w:val="808080"/>
          <w:sz w:val="20"/>
          <w:szCs w:val="20"/>
        </w:rPr>
        <w:t>6</w:t>
      </w:r>
      <w:r w:rsidR="00025B15">
        <w:rPr>
          <w:rFonts w:ascii="Tahoma" w:eastAsia="Tahoma" w:hAnsi="Tahoma" w:cs="Tahoma"/>
          <w:color w:val="808080"/>
          <w:sz w:val="20"/>
          <w:szCs w:val="20"/>
        </w:rPr>
        <w:t xml:space="preserve"> lutego 2023 r.</w:t>
      </w:r>
    </w:p>
    <w:p w14:paraId="09B71CDC" w14:textId="77D19649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5168" behindDoc="0" locked="0" layoutInCell="1" hidden="0" allowOverlap="1" wp14:anchorId="2629EEB8" wp14:editId="2D5C56E0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9663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11"/>
        <w:gridCol w:w="2552"/>
      </w:tblGrid>
      <w:tr w:rsidR="00D824D3" w:rsidRPr="00775CAB" w14:paraId="18FE4A91" w14:textId="77777777" w:rsidTr="00B2537D">
        <w:tc>
          <w:tcPr>
            <w:tcW w:w="7111" w:type="dxa"/>
          </w:tcPr>
          <w:p w14:paraId="50DAD41A" w14:textId="5A044020" w:rsidR="00D824D3" w:rsidRPr="00C02D68" w:rsidRDefault="00F65CEF">
            <w:pPr>
              <w:spacing w:line="360" w:lineRule="auto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  <w:r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#</w:t>
            </w:r>
            <w:r w:rsidR="00775CAB"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wynikifinansowe</w:t>
            </w:r>
            <w:r w:rsidR="004E7219"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 xml:space="preserve"> </w:t>
            </w:r>
          </w:p>
          <w:p w14:paraId="7607BB6A" w14:textId="77777777" w:rsidR="00D824D3" w:rsidRPr="00C02D68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</w:p>
          <w:p w14:paraId="4A1154D9" w14:textId="77777777" w:rsidR="00224D91" w:rsidRPr="00C02D68" w:rsidRDefault="00224D91" w:rsidP="0022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C02D68">
              <w:rPr>
                <w:rFonts w:ascii="Tahoma" w:eastAsia="Tahoma" w:hAnsi="Tahoma" w:cs="Tahoma"/>
                <w:b/>
                <w:color w:val="7F7F7F" w:themeColor="text1" w:themeTint="80"/>
              </w:rPr>
              <w:t>Komentarz prezesa Zarządu Budimeksu SA</w:t>
            </w:r>
          </w:p>
          <w:p w14:paraId="15F0EE83" w14:textId="77777777" w:rsidR="00224D91" w:rsidRPr="00C02D68" w:rsidRDefault="00224D91" w:rsidP="0022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C02D68">
              <w:rPr>
                <w:rFonts w:ascii="Tahoma" w:eastAsia="Tahoma" w:hAnsi="Tahoma" w:cs="Tahoma"/>
                <w:b/>
                <w:color w:val="7F7F7F" w:themeColor="text1" w:themeTint="80"/>
              </w:rPr>
              <w:t>Artura Popko</w:t>
            </w:r>
          </w:p>
          <w:p w14:paraId="65741F26" w14:textId="77777777" w:rsidR="00EF05BC" w:rsidRPr="00B84905" w:rsidRDefault="00EF05BC" w:rsidP="00EF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  <w:r w:rsidRPr="00B84905">
              <w:rPr>
                <w:rFonts w:ascii="Tahoma" w:eastAsia="Tahoma" w:hAnsi="Tahoma" w:cs="Tahoma"/>
                <w:b/>
                <w:color w:val="FFC000"/>
              </w:rPr>
              <w:t>do wybranych danych finansowych</w:t>
            </w:r>
          </w:p>
          <w:p w14:paraId="32DBDF6E" w14:textId="44835645" w:rsidR="00EF05BC" w:rsidRDefault="00EF05BC" w:rsidP="00EF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  <w:r w:rsidRPr="00B84905">
              <w:rPr>
                <w:rFonts w:ascii="Tahoma" w:eastAsia="Tahoma" w:hAnsi="Tahoma" w:cs="Tahoma"/>
                <w:b/>
                <w:color w:val="FFC000"/>
              </w:rPr>
              <w:t>ze skonsolidowanego sprawozdania finansowego</w:t>
            </w:r>
            <w:r>
              <w:rPr>
                <w:rFonts w:ascii="Tahoma" w:eastAsia="Tahoma" w:hAnsi="Tahoma" w:cs="Tahoma"/>
                <w:b/>
                <w:color w:val="FFC000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C000"/>
              </w:rPr>
              <w:br/>
            </w:r>
            <w:r w:rsidRPr="00B84905">
              <w:rPr>
                <w:rFonts w:ascii="Tahoma" w:eastAsia="Tahoma" w:hAnsi="Tahoma" w:cs="Tahoma"/>
                <w:b/>
                <w:color w:val="FFC000"/>
              </w:rPr>
              <w:t>Grupy Budimex za rok 202</w:t>
            </w:r>
            <w:r>
              <w:rPr>
                <w:rFonts w:ascii="Tahoma" w:eastAsia="Tahoma" w:hAnsi="Tahoma" w:cs="Tahoma"/>
                <w:b/>
                <w:color w:val="FFC000"/>
              </w:rPr>
              <w:t>3</w:t>
            </w:r>
          </w:p>
          <w:p w14:paraId="54E2357F" w14:textId="77777777" w:rsidR="00AD64EA" w:rsidRDefault="00AD64EA" w:rsidP="00EF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6075F24" w14:textId="7B0424CB" w:rsidR="009A2A41" w:rsidRPr="00EF05BC" w:rsidRDefault="00BE0D51" w:rsidP="007170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61"/>
              <w:jc w:val="both"/>
              <w:rPr>
                <w:rFonts w:ascii="Tahoma" w:eastAsia="Tahoma" w:hAnsi="Tahoma" w:cs="Tahoma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</w:t>
            </w:r>
            <w:r w:rsidR="009A2A41"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rzychody ze sprzedaży Grupy Budimex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 2023 </w:t>
            </w:r>
            <w:r w:rsidR="009A2A41"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wyniosły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9 mld</w:t>
            </w:r>
            <w:r w:rsidR="00000972"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802 miliony </w:t>
            </w:r>
            <w:r w:rsidR="009A2A41"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złotych (</w:t>
            </w:r>
            <w:r w:rsidR="000C0857"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+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13,7</w:t>
            </w:r>
            <w:r w:rsidR="009A2A41"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 r/r)</w:t>
            </w:r>
            <w:r w:rsidR="00025B1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.</w:t>
            </w:r>
          </w:p>
          <w:p w14:paraId="1D88B709" w14:textId="0F881D15" w:rsidR="004151F3" w:rsidRPr="00EF05BC" w:rsidRDefault="00B60995" w:rsidP="007170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61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Rentowność brutto Grupy wyniosła </w:t>
            </w:r>
            <w:r w:rsidR="00655A99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9</w:t>
            </w:r>
            <w:r w:rsidR="0006084D"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 w:rsidR="00D2740A"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5</w:t>
            </w:r>
            <w:r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w porównaniu do </w:t>
            </w:r>
            <w:r w:rsidR="00D2740A"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7,</w:t>
            </w:r>
            <w:r w:rsidR="00267E0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5</w:t>
            </w:r>
            <w:r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</w:t>
            </w:r>
            <w:r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</w:r>
            <w:r w:rsidR="00267E0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w</w:t>
            </w:r>
            <w:r w:rsidR="00FF6C45"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202</w:t>
            </w:r>
            <w:r w:rsidR="005525D3"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</w:t>
            </w:r>
            <w:r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</w:t>
            </w:r>
            <w:r w:rsidR="00F243DA" w:rsidRPr="00EF05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.</w:t>
            </w:r>
          </w:p>
          <w:p w14:paraId="66FC2C87" w14:textId="77777777" w:rsidR="007076C4" w:rsidRPr="007076C4" w:rsidRDefault="007076C4" w:rsidP="007076C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61"/>
              <w:jc w:val="both"/>
              <w:rPr>
                <w:rFonts w:ascii="Tahoma" w:eastAsia="Tahoma" w:hAnsi="Tahoma" w:cs="Tahoma"/>
                <w:bCs/>
                <w:iCs/>
                <w:color w:val="FF0000"/>
                <w:sz w:val="18"/>
                <w:szCs w:val="18"/>
              </w:rPr>
            </w:pPr>
            <w:r w:rsidRPr="0097358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Portfel zamówień Grupy Budimex na koniec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roku</w:t>
            </w:r>
            <w:r w:rsidRPr="0097358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 2023 roku wyniósł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</w:r>
            <w:r w:rsidRPr="007076C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13,1 miliarda złotych. </w:t>
            </w:r>
          </w:p>
          <w:p w14:paraId="7345191F" w14:textId="73D06998" w:rsidR="007076C4" w:rsidRPr="007076C4" w:rsidRDefault="007076C4" w:rsidP="007076C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61"/>
              <w:jc w:val="both"/>
              <w:rPr>
                <w:rFonts w:ascii="Tahoma" w:eastAsia="Tahoma" w:hAnsi="Tahoma" w:cs="Tahoma"/>
                <w:bCs/>
                <w:iCs/>
                <w:color w:val="FF0000"/>
                <w:sz w:val="18"/>
                <w:szCs w:val="18"/>
              </w:rPr>
            </w:pPr>
            <w:r w:rsidRPr="007076C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Wartość projektów oczekujących na podpisanie, oraz takich, gdzie oferta Budimex lub spółek z Grupy zajmuje najlepszą pozycję przetargową, to aktualnie blisko 13 miliardów złotych, z czego ponad 7 miliardów złotych przypada na kontrakty na rynkach zagranicznych</w:t>
            </w:r>
          </w:p>
          <w:p w14:paraId="22B5F062" w14:textId="184E693C" w:rsidR="00775CAB" w:rsidRPr="001D4924" w:rsidRDefault="00775CAB" w:rsidP="007D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  <w:highlight w:val="yellow"/>
              </w:rPr>
            </w:pPr>
          </w:p>
          <w:p w14:paraId="403AB48F" w14:textId="77777777" w:rsidR="00F0006A" w:rsidRDefault="00F0006A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</w:pPr>
          </w:p>
          <w:p w14:paraId="5DFE2844" w14:textId="6C938043" w:rsidR="00F0006A" w:rsidRDefault="004E2005" w:rsidP="00F0006A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</w:pPr>
            <w:r w:rsidRPr="004E2005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 xml:space="preserve">Osiągamy </w:t>
            </w:r>
            <w:r w:rsidR="00025B15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>historyczne</w:t>
            </w:r>
            <w:r w:rsidR="00025B15" w:rsidRPr="004E2005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 xml:space="preserve"> </w:t>
            </w:r>
            <w:r w:rsidRPr="004E2005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 xml:space="preserve">wyniki, przy </w:t>
            </w:r>
            <w:r w:rsidR="00025B15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>jednoczesnej poprawie</w:t>
            </w:r>
            <w:r w:rsidR="00025B15" w:rsidRPr="004E2005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 xml:space="preserve"> </w:t>
            </w:r>
            <w:r w:rsidRPr="004E2005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 xml:space="preserve">rentowności. </w:t>
            </w:r>
            <w:r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 xml:space="preserve">W 2023 roku </w:t>
            </w:r>
            <w:r w:rsidRPr="004E2005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>Grupa Budimex wypracowała zysk operacyjny na poziomie 781 milionów złotych.</w:t>
            </w:r>
            <w:r w:rsidR="00E45B9D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 xml:space="preserve"> Poprawa wyniku finansowego to zasługa przede wszystkim skuteczniejszego zarządzania kosztami, wykorzystaniem efektów synergii w Grupie i większego po</w:t>
            </w:r>
            <w:r w:rsidR="00AF0EC9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>r</w:t>
            </w:r>
            <w:r w:rsidR="00E45B9D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>tfela kontraktów budowlanych</w:t>
            </w:r>
            <w:r w:rsidR="008507A5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 xml:space="preserve">. </w:t>
            </w:r>
            <w:r w:rsidR="00651C48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>Wynik wspomagany był</w:t>
            </w:r>
            <w:r w:rsidR="008507A5" w:rsidRPr="008507A5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 xml:space="preserve"> również przez </w:t>
            </w:r>
            <w:r w:rsidR="001B318B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 xml:space="preserve">pierwsze </w:t>
            </w:r>
            <w:r w:rsidR="008507A5" w:rsidRPr="008507A5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>przychod</w:t>
            </w:r>
            <w:r w:rsidR="001B318B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>y</w:t>
            </w:r>
            <w:r w:rsidR="008507A5" w:rsidRPr="008507A5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 xml:space="preserve"> z działalności na rynkach zagranicznych. ‎</w:t>
            </w:r>
          </w:p>
          <w:p w14:paraId="7A5B9516" w14:textId="77777777" w:rsidR="00F0006A" w:rsidRPr="00031486" w:rsidRDefault="00F0006A" w:rsidP="00F0006A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</w:pPr>
          </w:p>
          <w:p w14:paraId="26736BC6" w14:textId="106A4350" w:rsidR="00F0006A" w:rsidRPr="00D26886" w:rsidRDefault="0024368F" w:rsidP="00F0006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4077DC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 xml:space="preserve">Mając na uwadze rekordowy poziom projektów oczekujących na podpisanie jesteśmy spokojni o poziom wykorzystania naszych mocy produkcyjnych w perspektywie </w:t>
            </w:r>
            <w:r w:rsidRPr="004264BF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>najbliższych 2 lat.</w:t>
            </w:r>
          </w:p>
          <w:p w14:paraId="34FA4B4B" w14:textId="77777777" w:rsidR="00F0006A" w:rsidRPr="0037731B" w:rsidRDefault="00F0006A" w:rsidP="00F0006A">
            <w:pPr>
              <w:spacing w:line="360" w:lineRule="auto"/>
              <w:jc w:val="both"/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</w:pPr>
          </w:p>
          <w:p w14:paraId="01275737" w14:textId="2867F98A" w:rsidR="00F0006A" w:rsidRDefault="00A14906" w:rsidP="00F0006A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A14906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 xml:space="preserve">To nie był łatwy rok, ale w Grupie Budimex kończymy go z poczuciem dobrze wykonanej pracy. Tak dobre wyniki to głównie rezultat ciężkiej pracy naszych pracowników </w:t>
            </w:r>
            <w:r w:rsidR="005D20DD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>oraz</w:t>
            </w:r>
            <w:r w:rsidR="005D20DD" w:rsidRPr="00A14906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 xml:space="preserve"> </w:t>
            </w:r>
            <w:r w:rsidRPr="00A14906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>przyjętej strategii efektywnej kontroli kosztów, odpowiedzialnej ofertacji i zarządzania ryzykiem budowlanym</w:t>
            </w:r>
            <w:r w:rsidR="00025B15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>,</w:t>
            </w:r>
            <w:r w:rsidRPr="00C75143">
              <w:rPr>
                <w:rFonts w:ascii="Poppins Light" w:hAnsi="Poppins Light" w:cs="Poppins Light"/>
              </w:rPr>
              <w:t xml:space="preserve"> </w:t>
            </w:r>
            <w:r w:rsidRPr="00A14906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>połączony z dywersyfikacją działalności.</w:t>
            </w:r>
            <w:r w:rsidRPr="00C75143">
              <w:rPr>
                <w:rFonts w:ascii="Poppins Light" w:hAnsi="Poppins Light" w:cs="Poppins Light"/>
              </w:rPr>
              <w:t xml:space="preserve"> </w:t>
            </w:r>
            <w:r w:rsidRPr="00A14906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lastRenderedPageBreak/>
              <w:t>Fundamentem</w:t>
            </w:r>
            <w:r w:rsidRPr="00C75143">
              <w:rPr>
                <w:rFonts w:ascii="Poppins Light" w:hAnsi="Poppins Light" w:cs="Poppins Light"/>
              </w:rPr>
              <w:t xml:space="preserve"> </w:t>
            </w:r>
            <w:r w:rsidRPr="00A14906">
              <w:rPr>
                <w:rFonts w:ascii="Tahoma" w:eastAsia="Tahoma" w:hAnsi="Tahoma" w:cs="Tahoma"/>
                <w:color w:val="808080"/>
                <w:sz w:val="18"/>
                <w:szCs w:val="18"/>
              </w:rPr>
              <w:t>działalności Budimex pozostaje budownictwo w Polsce, jednak nasza oferta jest znacznie bardziej kompleksowa.</w:t>
            </w:r>
          </w:p>
          <w:p w14:paraId="105B59C1" w14:textId="77777777" w:rsidR="00A14906" w:rsidRPr="0037731B" w:rsidRDefault="00A14906" w:rsidP="00F0006A">
            <w:pPr>
              <w:spacing w:line="360" w:lineRule="auto"/>
              <w:jc w:val="both"/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</w:pPr>
          </w:p>
          <w:p w14:paraId="0ED6ABC4" w14:textId="37DCECB7" w:rsidR="00400E28" w:rsidRDefault="00400E28" w:rsidP="00400E28">
            <w:pPr>
              <w:spacing w:line="360" w:lineRule="auto"/>
              <w:jc w:val="both"/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</w:pPr>
            <w:r w:rsidRPr="00400E28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Portfel zamówień Grupy Budimex na koniec roku 2023 roku wyniósł</w:t>
            </w:r>
            <w:r w:rsidRPr="00400E28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br/>
              <w:t xml:space="preserve">13,1 miliarda złotych. Wartość </w:t>
            </w:r>
            <w:r w:rsidR="007B060D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kontraktów </w:t>
            </w:r>
            <w:r w:rsidRPr="00400E28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oczekujących na podpisanie gdzie oferta naszej spółki zajęła pierwsze miejsce w postępowaniach przetargowych to aktualnie blisko 13  miliardów złotych z czego ponad 7 miliardów złotych przypada na kontrakty na rynkach zagranicznych: czeskim oraz łotewskim.</w:t>
            </w:r>
            <w:r w:rsidRPr="0037731B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</w:t>
            </w:r>
          </w:p>
          <w:p w14:paraId="398A5B90" w14:textId="77777777" w:rsidR="00A44C74" w:rsidRPr="00C7760B" w:rsidRDefault="00A44C74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FF0000"/>
                <w:sz w:val="18"/>
                <w:szCs w:val="18"/>
                <w:highlight w:val="yellow"/>
              </w:rPr>
            </w:pPr>
          </w:p>
          <w:tbl>
            <w:tblPr>
              <w:tblW w:w="74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1275"/>
              <w:gridCol w:w="1418"/>
              <w:gridCol w:w="2015"/>
            </w:tblGrid>
            <w:tr w:rsidR="00077D5C" w:rsidRPr="00077D5C" w14:paraId="0064AAE4" w14:textId="77777777" w:rsidTr="00077D5C">
              <w:trPr>
                <w:trHeight w:val="349"/>
              </w:trPr>
              <w:tc>
                <w:tcPr>
                  <w:tcW w:w="2734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3E79CEF4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t>Grupa Budimex</w:t>
                  </w: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br/>
                    <w:t>(mln zł)</w:t>
                  </w:r>
                </w:p>
              </w:tc>
              <w:tc>
                <w:tcPr>
                  <w:tcW w:w="470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62054CEA" w14:textId="77777777" w:rsidR="00077D5C" w:rsidRPr="00077D5C" w:rsidRDefault="00077D5C" w:rsidP="00077D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</w:tr>
            <w:tr w:rsidR="00077D5C" w:rsidRPr="00077D5C" w14:paraId="0AE548E8" w14:textId="77777777" w:rsidTr="00077D5C">
              <w:trPr>
                <w:trHeight w:val="540"/>
              </w:trPr>
              <w:tc>
                <w:tcPr>
                  <w:tcW w:w="2734" w:type="dxa"/>
                  <w:vMerge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0FCA64D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678497A9" w14:textId="77777777" w:rsidR="00077D5C" w:rsidRPr="00077D5C" w:rsidRDefault="00077D5C" w:rsidP="00077D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000000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64BB25C1" w14:textId="77777777" w:rsidR="00077D5C" w:rsidRPr="00077D5C" w:rsidRDefault="00077D5C" w:rsidP="00077D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000000"/>
                    </w:rPr>
                    <w:t>2022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7AA44483" w14:textId="77777777" w:rsidR="00077D5C" w:rsidRPr="00077D5C" w:rsidRDefault="00077D5C" w:rsidP="00077D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077D5C" w:rsidRPr="00077D5C" w14:paraId="1B935967" w14:textId="77777777" w:rsidTr="00077D5C">
              <w:trPr>
                <w:trHeight w:val="420"/>
              </w:trPr>
              <w:tc>
                <w:tcPr>
                  <w:tcW w:w="2734" w:type="dxa"/>
                  <w:tcBorders>
                    <w:top w:val="nil"/>
                    <w:left w:val="single" w:sz="8" w:space="0" w:color="FFC000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192AB4BD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166482F1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9 802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29000795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8 619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FFC000"/>
                  </w:tcBorders>
                  <w:shd w:val="clear" w:color="000000" w:fill="FFC000"/>
                  <w:noWrap/>
                  <w:vAlign w:val="center"/>
                  <w:hideMark/>
                </w:tcPr>
                <w:p w14:paraId="012FA32B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13,7%</w:t>
                  </w:r>
                </w:p>
              </w:tc>
            </w:tr>
            <w:tr w:rsidR="00077D5C" w:rsidRPr="00077D5C" w14:paraId="3FB5C159" w14:textId="77777777" w:rsidTr="00077D5C">
              <w:trPr>
                <w:trHeight w:val="420"/>
              </w:trPr>
              <w:tc>
                <w:tcPr>
                  <w:tcW w:w="273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ED98168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94678F0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781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F9A850D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562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5EF12ED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38,9%</w:t>
                  </w:r>
                </w:p>
              </w:tc>
            </w:tr>
            <w:tr w:rsidR="00077D5C" w:rsidRPr="00077D5C" w14:paraId="5E7F5560" w14:textId="77777777" w:rsidTr="00077D5C">
              <w:trPr>
                <w:trHeight w:val="252"/>
              </w:trPr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AC75676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C4CD2A0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8,0%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A38EADC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6,5%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496F69A" w14:textId="31720132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1,</w:t>
                  </w:r>
                  <w:r w:rsidR="007B060D">
                    <w:rPr>
                      <w:rFonts w:ascii="Tahoma" w:eastAsia="Times New Roman" w:hAnsi="Tahoma" w:cs="Tahoma"/>
                      <w:color w:val="404040"/>
                    </w:rPr>
                    <w:t>5</w:t>
                  </w: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% pp.</w:t>
                  </w:r>
                </w:p>
              </w:tc>
            </w:tr>
            <w:tr w:rsidR="00077D5C" w:rsidRPr="00077D5C" w14:paraId="1A3D057C" w14:textId="77777777" w:rsidTr="00077D5C">
              <w:trPr>
                <w:trHeight w:val="420"/>
              </w:trPr>
              <w:tc>
                <w:tcPr>
                  <w:tcW w:w="273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5FB1F36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DE94491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930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8F84260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649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7170C3C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43,3%</w:t>
                  </w:r>
                </w:p>
              </w:tc>
            </w:tr>
            <w:tr w:rsidR="00077D5C" w:rsidRPr="00077D5C" w14:paraId="5FA9789D" w14:textId="77777777" w:rsidTr="00077D5C">
              <w:trPr>
                <w:trHeight w:val="252"/>
              </w:trPr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208158D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B2FA234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9,5%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D6E98E1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7,5%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6EBD078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2,0% pp.</w:t>
                  </w:r>
                </w:p>
              </w:tc>
            </w:tr>
            <w:tr w:rsidR="00077D5C" w:rsidRPr="00077D5C" w14:paraId="5A6148D0" w14:textId="77777777" w:rsidTr="00077D5C">
              <w:trPr>
                <w:trHeight w:val="525"/>
              </w:trPr>
              <w:tc>
                <w:tcPr>
                  <w:tcW w:w="273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038503E5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netto*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0F3080A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738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68822AE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534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FA725C8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38,1%</w:t>
                  </w:r>
                </w:p>
              </w:tc>
            </w:tr>
            <w:tr w:rsidR="00077D5C" w:rsidRPr="00077D5C" w14:paraId="2AA743F0" w14:textId="77777777" w:rsidTr="00077D5C">
              <w:trPr>
                <w:trHeight w:val="252"/>
              </w:trPr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13347A0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74FACD4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7,5%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6A6037B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6,2%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9E03D94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1,3% pp.</w:t>
                  </w:r>
                </w:p>
              </w:tc>
            </w:tr>
            <w:tr w:rsidR="00077D5C" w:rsidRPr="00077D5C" w14:paraId="03E00DBC" w14:textId="77777777" w:rsidTr="00077D5C">
              <w:trPr>
                <w:trHeight w:val="255"/>
              </w:trPr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hideMark/>
                </w:tcPr>
                <w:p w14:paraId="6DE61AB0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14"/>
                      <w:szCs w:val="14"/>
                    </w:rPr>
                  </w:pPr>
                  <w:r w:rsidRPr="00077D5C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14"/>
                      <w:szCs w:val="14"/>
                    </w:rPr>
                    <w:t>*przypadający akcjonariuszom Jednostki Dominującej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2F9ABD3C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5E5A84D5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51A6B7A5" w14:textId="77777777" w:rsidR="00077D5C" w:rsidRPr="00077D5C" w:rsidRDefault="00077D5C" w:rsidP="00077D5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77D5C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</w:tbl>
          <w:p w14:paraId="123EC875" w14:textId="0873EA42" w:rsidR="0023777F" w:rsidRPr="001D4924" w:rsidRDefault="0023777F" w:rsidP="001F6968">
            <w:pPr>
              <w:spacing w:line="360" w:lineRule="auto"/>
              <w:rPr>
                <w:rFonts w:ascii="Tahoma" w:eastAsia="Tahoma" w:hAnsi="Tahoma" w:cs="Tahoma"/>
                <w:color w:val="808080"/>
                <w:sz w:val="18"/>
                <w:szCs w:val="18"/>
                <w:highlight w:val="yellow"/>
              </w:rPr>
            </w:pPr>
          </w:p>
          <w:p w14:paraId="56892A2B" w14:textId="6985E049" w:rsidR="00BF116E" w:rsidRPr="00FE00A1" w:rsidRDefault="00FD14F3" w:rsidP="00BF116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Odnotowaliśmy</w:t>
            </w:r>
            <w:r w:rsidR="00B220A6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również</w:t>
            </w:r>
            <w:r w:rsidR="004C06D4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dwucyfrowy</w:t>
            </w:r>
            <w:r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E617F8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wzrost</w:t>
            </w:r>
            <w:r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0C5A43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(rok do roku) </w:t>
            </w:r>
            <w:r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przychodów ze sprzedaży Grupy</w:t>
            </w:r>
            <w:r w:rsidR="00CE063A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zaró</w:t>
            </w:r>
            <w:r w:rsidR="00CE063A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w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no w</w:t>
            </w:r>
            <w:r w:rsidR="00CE063A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części budowlanej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(+</w:t>
            </w:r>
            <w:r w:rsidR="004C06D4">
              <w:rPr>
                <w:rFonts w:ascii="Tahoma" w:eastAsia="Tahoma" w:hAnsi="Tahoma" w:cs="Tahoma"/>
                <w:color w:val="808080"/>
                <w:sz w:val="18"/>
                <w:szCs w:val="18"/>
              </w:rPr>
              <w:t>13,8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%) jak i w części usługowej (+</w:t>
            </w:r>
            <w:r w:rsidR="004C06D4">
              <w:rPr>
                <w:rFonts w:ascii="Tahoma" w:eastAsia="Tahoma" w:hAnsi="Tahoma" w:cs="Tahoma"/>
                <w:color w:val="808080"/>
                <w:sz w:val="18"/>
                <w:szCs w:val="18"/>
              </w:rPr>
              <w:t>13,5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%)</w:t>
            </w:r>
            <w:r w:rsidR="00CE063A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.</w:t>
            </w:r>
            <w:r w:rsidR="00CE063A" w:rsidRPr="00FE00A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</w:p>
          <w:p w14:paraId="6CF9EDEB" w14:textId="482052FE" w:rsidR="00EA7734" w:rsidRDefault="007143D6" w:rsidP="0062239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FC43CA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  <w:br/>
            </w:r>
            <w:r w:rsidR="00622393"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Produkcja budowlano-montażowa </w:t>
            </w:r>
            <w:r w:rsidR="00B82BD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</w:t>
            </w:r>
            <w:r w:rsidR="00B82BD2"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622393"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2023 rok</w:t>
            </w:r>
            <w:r w:rsidR="00B82BD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u</w:t>
            </w:r>
            <w:r w:rsidR="00622393"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622393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(w cenach bieżących) </w:t>
            </w:r>
            <w:r w:rsidR="00622393"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wzrosła rok do roku</w:t>
            </w:r>
            <w:r w:rsidR="0067500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15</w:t>
            </w:r>
            <w:r w:rsidR="002B4A1E"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,4</w:t>
            </w:r>
            <w:r w:rsidR="00622393"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% z poziomu </w:t>
            </w:r>
            <w:r w:rsidR="002B4A1E"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140</w:t>
            </w:r>
            <w:r w:rsidR="00622393"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2B4A1E"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miliardów </w:t>
            </w:r>
            <w:r w:rsidR="00622393"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złotych do </w:t>
            </w:r>
            <w:r w:rsidR="002B4A1E"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162 </w:t>
            </w:r>
            <w:r w:rsidR="00EA7734"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miliardów </w:t>
            </w:r>
            <w:r w:rsidR="00622393"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złotych</w:t>
            </w:r>
            <w:r w:rsidR="00622393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W segmencie budynków produkcja sprzedana wzrosła o </w:t>
            </w:r>
            <w:r w:rsidR="002B4A1E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6,5</w:t>
            </w:r>
            <w:r w:rsidR="00622393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%, natomiast w</w:t>
            </w:r>
            <w:r w:rsidR="002B4A1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622393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obszarze infrastrukturalnym wzrost wyniósł aż </w:t>
            </w:r>
            <w:r w:rsidR="002B4A1E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24,1</w:t>
            </w:r>
            <w:r w:rsidR="00622393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%.</w:t>
            </w:r>
          </w:p>
          <w:p w14:paraId="069DE4AA" w14:textId="77777777" w:rsidR="00AF0EC9" w:rsidRPr="002756E4" w:rsidRDefault="00AF0EC9" w:rsidP="0062239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tbl>
            <w:tblPr>
              <w:tblW w:w="68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1360"/>
              <w:gridCol w:w="1360"/>
              <w:gridCol w:w="1784"/>
            </w:tblGrid>
            <w:tr w:rsidR="002B4A1E" w:rsidRPr="002B4A1E" w14:paraId="151FED8B" w14:textId="77777777" w:rsidTr="00B2537D">
              <w:trPr>
                <w:trHeight w:val="349"/>
              </w:trPr>
              <w:tc>
                <w:tcPr>
                  <w:tcW w:w="2340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6001088B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t>Sektor budownictwa</w:t>
                  </w:r>
                </w:p>
              </w:tc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22B1ABFE" w14:textId="77777777" w:rsidR="002B4A1E" w:rsidRPr="002B4A1E" w:rsidRDefault="002B4A1E" w:rsidP="002B4A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Dane statystyczne</w:t>
                  </w:r>
                  <w:r w:rsidRPr="002B4A1E">
                    <w:rPr>
                      <w:rFonts w:ascii="Tahoma" w:eastAsia="Times New Roman" w:hAnsi="Tahoma" w:cs="Tahoma"/>
                      <w:color w:val="000000"/>
                    </w:rPr>
                    <w:t xml:space="preserve"> (mld zł)</w:t>
                  </w:r>
                </w:p>
              </w:tc>
            </w:tr>
            <w:tr w:rsidR="002B4A1E" w:rsidRPr="002B4A1E" w14:paraId="6E6B8348" w14:textId="77777777" w:rsidTr="00B2537D">
              <w:trPr>
                <w:trHeight w:val="540"/>
              </w:trPr>
              <w:tc>
                <w:tcPr>
                  <w:tcW w:w="2340" w:type="dxa"/>
                  <w:vMerge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4E89ECE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6B20E5E1" w14:textId="77777777" w:rsidR="002B4A1E" w:rsidRPr="002B4A1E" w:rsidRDefault="002B4A1E" w:rsidP="002B4A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2B4A1E">
                    <w:rPr>
                      <w:rFonts w:ascii="Tahoma" w:eastAsia="Times New Roman" w:hAnsi="Tahoma" w:cs="Tahoma"/>
                      <w:color w:val="000000"/>
                    </w:rPr>
                    <w:t>2023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681FC68C" w14:textId="77777777" w:rsidR="002B4A1E" w:rsidRPr="002B4A1E" w:rsidRDefault="002B4A1E" w:rsidP="002B4A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2B4A1E">
                    <w:rPr>
                      <w:rFonts w:ascii="Tahoma" w:eastAsia="Times New Roman" w:hAnsi="Tahoma" w:cs="Tahoma"/>
                      <w:color w:val="000000"/>
                    </w:rPr>
                    <w:t>2022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2610D296" w14:textId="77777777" w:rsidR="002B4A1E" w:rsidRPr="002B4A1E" w:rsidRDefault="002B4A1E" w:rsidP="002B4A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2B4A1E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2B4A1E" w:rsidRPr="002B4A1E" w14:paraId="3D21ECAD" w14:textId="77777777" w:rsidTr="00B2537D">
              <w:trPr>
                <w:trHeight w:val="660"/>
              </w:trPr>
              <w:tc>
                <w:tcPr>
                  <w:tcW w:w="2340" w:type="dxa"/>
                  <w:tcBorders>
                    <w:top w:val="nil"/>
                    <w:left w:val="single" w:sz="8" w:space="0" w:color="FFC000"/>
                    <w:bottom w:val="single" w:sz="8" w:space="0" w:color="auto"/>
                    <w:right w:val="nil"/>
                  </w:tcBorders>
                  <w:shd w:val="clear" w:color="000000" w:fill="FFC000"/>
                  <w:vAlign w:val="center"/>
                  <w:hideMark/>
                </w:tcPr>
                <w:p w14:paraId="2D98433D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 xml:space="preserve">Produkcja </w:t>
                  </w: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br/>
                    <w:t>sprzedana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45584C28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161,9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76E81EE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140,4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157B7AC7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15,4%</w:t>
                  </w:r>
                </w:p>
              </w:tc>
            </w:tr>
            <w:tr w:rsidR="002B4A1E" w:rsidRPr="002B4A1E" w14:paraId="647E4D47" w14:textId="77777777" w:rsidTr="00B2537D">
              <w:trPr>
                <w:trHeight w:val="40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9816E28" w14:textId="77777777" w:rsidR="002B4A1E" w:rsidRPr="002B4A1E" w:rsidRDefault="002B4A1E" w:rsidP="002B4A1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Budynki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56BCF0B" w14:textId="77777777" w:rsidR="002B4A1E" w:rsidRPr="002B4A1E" w:rsidRDefault="002B4A1E" w:rsidP="002B4A1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74,3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3F2C306" w14:textId="77777777" w:rsidR="002B4A1E" w:rsidRPr="002B4A1E" w:rsidRDefault="002B4A1E" w:rsidP="002B4A1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69,7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330717B" w14:textId="77777777" w:rsidR="002B4A1E" w:rsidRPr="002B4A1E" w:rsidRDefault="002B4A1E" w:rsidP="002B4A1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6,5%</w:t>
                  </w:r>
                </w:p>
              </w:tc>
            </w:tr>
            <w:tr w:rsidR="002B4A1E" w:rsidRPr="002B4A1E" w14:paraId="3842CA5A" w14:textId="77777777" w:rsidTr="00B2537D">
              <w:trPr>
                <w:trHeight w:val="28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C679593" w14:textId="77777777" w:rsidR="002B4A1E" w:rsidRPr="002B4A1E" w:rsidRDefault="002B4A1E" w:rsidP="002B4A1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color w:val="404040"/>
                    </w:rPr>
                    <w:t>udział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CE2211E" w14:textId="77777777" w:rsidR="002B4A1E" w:rsidRPr="002B4A1E" w:rsidRDefault="002B4A1E" w:rsidP="002B4A1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color w:val="404040"/>
                    </w:rPr>
                    <w:t>45,9%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A1D20E9" w14:textId="77777777" w:rsidR="002B4A1E" w:rsidRPr="002B4A1E" w:rsidRDefault="002B4A1E" w:rsidP="002B4A1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color w:val="404040"/>
                    </w:rPr>
                    <w:t>49,7%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A848082" w14:textId="77777777" w:rsidR="002B4A1E" w:rsidRPr="002B4A1E" w:rsidRDefault="002B4A1E" w:rsidP="002B4A1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color w:val="404040"/>
                    </w:rPr>
                    <w:t>-3,8% pp.</w:t>
                  </w:r>
                </w:p>
              </w:tc>
            </w:tr>
            <w:tr w:rsidR="002B4A1E" w:rsidRPr="002B4A1E" w14:paraId="15AF25E8" w14:textId="77777777" w:rsidTr="00B2537D">
              <w:trPr>
                <w:trHeight w:val="405"/>
              </w:trPr>
              <w:tc>
                <w:tcPr>
                  <w:tcW w:w="2340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559B157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Inżynieria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CF53DDC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87,6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752E016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70,6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16B8A8E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24,1%</w:t>
                  </w:r>
                </w:p>
              </w:tc>
            </w:tr>
            <w:tr w:rsidR="002B4A1E" w:rsidRPr="002B4A1E" w14:paraId="1983099C" w14:textId="77777777" w:rsidTr="00B2537D">
              <w:trPr>
                <w:trHeight w:val="330"/>
              </w:trPr>
              <w:tc>
                <w:tcPr>
                  <w:tcW w:w="2340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7B4DF139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2B4A1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w tym: drogi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782C0908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2B4A1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34,2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4C638119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2B4A1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205C8C67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2B4A1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27,3%</w:t>
                  </w:r>
                </w:p>
              </w:tc>
            </w:tr>
            <w:tr w:rsidR="002B4A1E" w:rsidRPr="002B4A1E" w14:paraId="04977AA2" w14:textId="77777777" w:rsidTr="00B2537D">
              <w:trPr>
                <w:trHeight w:val="330"/>
              </w:trPr>
              <w:tc>
                <w:tcPr>
                  <w:tcW w:w="2340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5314765E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2B4A1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w tym: koleje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530DE60A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2B4A1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573EEB11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2B4A1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8,4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23CCD86C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2B4A1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11,5%</w:t>
                  </w:r>
                </w:p>
              </w:tc>
            </w:tr>
            <w:tr w:rsidR="002B4A1E" w:rsidRPr="002B4A1E" w14:paraId="1BFDAD76" w14:textId="77777777" w:rsidTr="00B2537D">
              <w:trPr>
                <w:trHeight w:val="28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24852B2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color w:val="404040"/>
                    </w:rPr>
                    <w:t>udział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B995931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color w:val="404040"/>
                    </w:rPr>
                    <w:t>54,1%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4FFA788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color w:val="404040"/>
                    </w:rPr>
                    <w:t>50,3%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ECAFAA1" w14:textId="77777777" w:rsidR="002B4A1E" w:rsidRPr="002B4A1E" w:rsidRDefault="002B4A1E" w:rsidP="002B4A1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B4A1E">
                    <w:rPr>
                      <w:rFonts w:ascii="Tahoma" w:eastAsia="Times New Roman" w:hAnsi="Tahoma" w:cs="Tahoma"/>
                      <w:color w:val="404040"/>
                    </w:rPr>
                    <w:t>3,8% pp.</w:t>
                  </w:r>
                </w:p>
              </w:tc>
            </w:tr>
          </w:tbl>
          <w:p w14:paraId="7EAAE60D" w14:textId="77777777" w:rsidR="00622393" w:rsidRPr="002756E4" w:rsidRDefault="00622393" w:rsidP="0062239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E85F3A8" w14:textId="01241C01" w:rsidR="0080729F" w:rsidRPr="007C69AF" w:rsidRDefault="0080729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79E36F62" w14:textId="2245D189" w:rsidR="009D0F56" w:rsidRPr="000653AD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Sprzedaż segmentu budowlanego Grupy Budimex </w:t>
            </w:r>
            <w:r w:rsidR="00C46009"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</w:t>
            </w:r>
            <w:r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 roku 2023 wyniosła </w:t>
            </w:r>
            <w:r w:rsidR="007B060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  </w:t>
            </w:r>
            <w:r w:rsidR="00C46009"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8</w:t>
            </w:r>
            <w:r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C46009"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902</w:t>
            </w:r>
            <w:r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milionów złotych (+</w:t>
            </w:r>
            <w:r w:rsidR="00C46009"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13</w:t>
            </w:r>
            <w:r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</w:t>
            </w:r>
            <w:r w:rsidR="00C46009"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8</w:t>
            </w:r>
            <w:r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% r/r), notując przy tym wzrost zarówno rentowności operacyjnej (z 6,</w:t>
            </w:r>
            <w:r w:rsidR="00CC00E4"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0</w:t>
            </w:r>
            <w:r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% do </w:t>
            </w:r>
            <w:r w:rsidR="00CC00E4"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8</w:t>
            </w:r>
            <w:r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</w:t>
            </w:r>
            <w:r w:rsidR="00CC00E4"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0</w:t>
            </w:r>
            <w:r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%), jaki rentowności brutto (z</w:t>
            </w:r>
            <w:r w:rsidR="007B060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 </w:t>
            </w:r>
            <w:r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CC00E4"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7</w:t>
            </w:r>
            <w:r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</w:t>
            </w:r>
            <w:r w:rsidR="00CC00E4"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</w:t>
            </w:r>
            <w:r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% do </w:t>
            </w:r>
            <w:r w:rsidR="00CC00E4"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9</w:t>
            </w:r>
            <w:r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</w:t>
            </w:r>
            <w:r w:rsidR="00CC00E4"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7</w:t>
            </w:r>
            <w:r w:rsidRP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%). </w:t>
            </w:r>
          </w:p>
          <w:p w14:paraId="4CCB9D32" w14:textId="77777777" w:rsidR="00C46009" w:rsidRPr="00CC00E4" w:rsidRDefault="00C46009" w:rsidP="009D0F56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cyan"/>
              </w:rPr>
            </w:pPr>
          </w:p>
          <w:tbl>
            <w:tblPr>
              <w:tblW w:w="6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1460"/>
              <w:gridCol w:w="1480"/>
              <w:gridCol w:w="1260"/>
              <w:gridCol w:w="180"/>
            </w:tblGrid>
            <w:tr w:rsidR="00C46009" w:rsidRPr="00C46009" w14:paraId="511E8059" w14:textId="77777777" w:rsidTr="00C46009">
              <w:trPr>
                <w:trHeight w:val="348"/>
              </w:trPr>
              <w:tc>
                <w:tcPr>
                  <w:tcW w:w="26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409F3BFD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Segment budowlany</w:t>
                  </w: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br/>
                    <w:t>(mln zł)</w:t>
                  </w: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37CD3E97" w14:textId="77777777" w:rsidR="00C46009" w:rsidRPr="00C46009" w:rsidRDefault="00C46009" w:rsidP="00C460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57E6ECFD" w14:textId="77777777" w:rsidR="00C46009" w:rsidRPr="00C46009" w:rsidRDefault="00C46009" w:rsidP="00C460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C46009" w:rsidRPr="00C46009" w14:paraId="16FF833C" w14:textId="77777777" w:rsidTr="00C46009">
              <w:trPr>
                <w:trHeight w:val="540"/>
              </w:trPr>
              <w:tc>
                <w:tcPr>
                  <w:tcW w:w="26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2EB964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0D8AE9C1" w14:textId="77777777" w:rsidR="00C46009" w:rsidRPr="00C46009" w:rsidRDefault="00C46009" w:rsidP="00C460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000000"/>
                    </w:rPr>
                    <w:t>2023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25363BF9" w14:textId="77777777" w:rsidR="00C46009" w:rsidRPr="00C46009" w:rsidRDefault="00C46009" w:rsidP="00C460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000000"/>
                    </w:rPr>
                    <w:t>2022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2CA79567" w14:textId="77777777" w:rsidR="00C46009" w:rsidRPr="00C46009" w:rsidRDefault="00C46009" w:rsidP="00C460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341B5102" w14:textId="77777777" w:rsidR="00C46009" w:rsidRPr="00C46009" w:rsidRDefault="00C46009" w:rsidP="00C460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</w:tr>
            <w:tr w:rsidR="00C46009" w:rsidRPr="00C46009" w14:paraId="79579FBB" w14:textId="77777777" w:rsidTr="00C46009">
              <w:trPr>
                <w:trHeight w:val="420"/>
              </w:trPr>
              <w:tc>
                <w:tcPr>
                  <w:tcW w:w="26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35A4F8A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1AAA4A8F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8 902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11FB193B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7 821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903B8A2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13,8%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4ECF14A3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 </w:t>
                  </w:r>
                </w:p>
              </w:tc>
            </w:tr>
            <w:tr w:rsidR="00C46009" w:rsidRPr="00C46009" w14:paraId="4C44B5DA" w14:textId="77777777" w:rsidTr="00C46009">
              <w:trPr>
                <w:trHeight w:val="420"/>
              </w:trPr>
              <w:tc>
                <w:tcPr>
                  <w:tcW w:w="26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197C611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6963AD7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714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C5C1A93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471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4747CC1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51,4%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3E2BBA0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 </w:t>
                  </w:r>
                </w:p>
              </w:tc>
            </w:tr>
            <w:tr w:rsidR="00C46009" w:rsidRPr="00C46009" w14:paraId="368763C5" w14:textId="77777777" w:rsidTr="00C46009">
              <w:trPr>
                <w:trHeight w:val="252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301460A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2E898F1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8,0%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0402EF2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6,0%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955B8C8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2,0% pp.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89E9358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C46009" w:rsidRPr="00C46009" w14:paraId="30969E05" w14:textId="77777777" w:rsidTr="00C46009">
              <w:trPr>
                <w:trHeight w:val="420"/>
              </w:trPr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30B5D61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609F96C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863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7B2A45E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552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B58657F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56,4%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93A6737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 </w:t>
                  </w:r>
                </w:p>
              </w:tc>
            </w:tr>
            <w:tr w:rsidR="00C46009" w:rsidRPr="00C46009" w14:paraId="0A56E6D3" w14:textId="77777777" w:rsidTr="00C46009">
              <w:trPr>
                <w:trHeight w:val="252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D38F505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D1C7412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9,7%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79D934F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7,1%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328FD17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2,6% pp.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6822875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C46009" w:rsidRPr="00C46009" w14:paraId="01E68D79" w14:textId="77777777" w:rsidTr="00C46009">
              <w:trPr>
                <w:trHeight w:val="504"/>
              </w:trPr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2E1E9B8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Portfel zamówień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FD0131B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13 140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C79D5CB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13 290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90B7E47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-1,1%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8F81FBE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C46009" w:rsidRPr="00C46009" w14:paraId="3CE1AFE1" w14:textId="77777777" w:rsidTr="00C46009">
              <w:trPr>
                <w:trHeight w:val="504"/>
              </w:trPr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4CE1F72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Kontraktacja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2990CA3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8 290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486D133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7 879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3147627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5,2%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305B445" w14:textId="77777777" w:rsidR="00C46009" w:rsidRPr="00C46009" w:rsidRDefault="00C46009" w:rsidP="00C46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46009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</w:tbl>
          <w:p w14:paraId="2535044E" w14:textId="77777777" w:rsidR="009D0F56" w:rsidRPr="00EF05BC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green"/>
              </w:rPr>
            </w:pPr>
          </w:p>
          <w:p w14:paraId="5F9D4304" w14:textId="77777777" w:rsidR="00FD252F" w:rsidRPr="00EF05BC" w:rsidRDefault="00FD252F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</w:pPr>
          </w:p>
          <w:p w14:paraId="0E02EBDD" w14:textId="6F54A44F" w:rsidR="009D0F56" w:rsidRPr="000653AD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Skala zrealizowanych przychodów ze sprzedaży w roku 2023 w segmencie budowlanym była zauważalnie wyższa niż w </w:t>
            </w:r>
            <w:r w:rsidR="00947490"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poprzednim roku</w:t>
            </w:r>
            <w:r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Pr="000653AD">
              <w:rPr>
                <w:rFonts w:ascii="Tahoma" w:eastAsia="Tahoma" w:hAnsi="Tahoma" w:cs="Tahoma"/>
                <w:color w:val="808080"/>
                <w:sz w:val="18"/>
                <w:szCs w:val="18"/>
              </w:rPr>
              <w:t>Wysoki poziom portfela zamówień oraz jego dywersyfikacja</w:t>
            </w:r>
            <w:r w:rsidR="00F85DD5">
              <w:rPr>
                <w:rFonts w:ascii="Tahoma" w:eastAsia="Tahoma" w:hAnsi="Tahoma" w:cs="Tahoma"/>
                <w:color w:val="808080"/>
                <w:sz w:val="18"/>
                <w:szCs w:val="18"/>
              </w:rPr>
              <w:t>,</w:t>
            </w:r>
            <w:r w:rsidRPr="000653A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 połączeniu ze sprzyjającymi warunkami pogodowymi</w:t>
            </w:r>
            <w:r w:rsidR="00F85DD5">
              <w:rPr>
                <w:rFonts w:ascii="Tahoma" w:eastAsia="Tahoma" w:hAnsi="Tahoma" w:cs="Tahoma"/>
                <w:color w:val="808080"/>
                <w:sz w:val="18"/>
                <w:szCs w:val="18"/>
              </w:rPr>
              <w:t>,</w:t>
            </w:r>
            <w:r w:rsidRPr="000653A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pozwoliły na zwiększenie przychodów o ponad </w:t>
            </w:r>
            <w:r w:rsidR="00947490" w:rsidRPr="000653AD">
              <w:rPr>
                <w:rFonts w:ascii="Tahoma" w:eastAsia="Tahoma" w:hAnsi="Tahoma" w:cs="Tahoma"/>
                <w:color w:val="808080"/>
                <w:sz w:val="18"/>
                <w:szCs w:val="18"/>
              </w:rPr>
              <w:t>13</w:t>
            </w:r>
            <w:r w:rsidRPr="000653AD">
              <w:rPr>
                <w:rFonts w:ascii="Tahoma" w:eastAsia="Tahoma" w:hAnsi="Tahoma" w:cs="Tahoma"/>
                <w:color w:val="808080"/>
                <w:sz w:val="18"/>
                <w:szCs w:val="18"/>
              </w:rPr>
              <w:t>,</w:t>
            </w:r>
            <w:r w:rsidR="00947490" w:rsidRPr="000653AD">
              <w:rPr>
                <w:rFonts w:ascii="Tahoma" w:eastAsia="Tahoma" w:hAnsi="Tahoma" w:cs="Tahoma"/>
                <w:color w:val="808080"/>
                <w:sz w:val="18"/>
                <w:szCs w:val="18"/>
              </w:rPr>
              <w:t>8</w:t>
            </w:r>
            <w:r w:rsidRPr="000653A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%. </w:t>
            </w:r>
            <w:r w:rsidR="00A113AD" w:rsidRPr="000653AD">
              <w:rPr>
                <w:rFonts w:ascii="Tahoma" w:eastAsia="Tahoma" w:hAnsi="Tahoma" w:cs="Tahoma"/>
                <w:color w:val="808080"/>
                <w:sz w:val="18"/>
                <w:szCs w:val="18"/>
              </w:rPr>
              <w:t>Wzrost sprzedaży odnotowaliśmy w</w:t>
            </w:r>
            <w:r w:rsidR="00F07828">
              <w:rPr>
                <w:rFonts w:ascii="Tahoma" w:eastAsia="Tahoma" w:hAnsi="Tahoma" w:cs="Tahoma"/>
                <w:color w:val="808080"/>
                <w:sz w:val="18"/>
                <w:szCs w:val="18"/>
              </w:rPr>
              <w:t> </w:t>
            </w:r>
            <w:r w:rsidR="00A113AD" w:rsidRPr="000653A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większości obszarów działalności </w:t>
            </w:r>
            <w:r w:rsidR="00DF1B7A" w:rsidRPr="000653A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budowlanej </w:t>
            </w:r>
            <w:r w:rsidR="00A113AD" w:rsidRPr="000653AD">
              <w:rPr>
                <w:rFonts w:ascii="Tahoma" w:eastAsia="Tahoma" w:hAnsi="Tahoma" w:cs="Tahoma"/>
                <w:color w:val="808080"/>
                <w:sz w:val="18"/>
                <w:szCs w:val="18"/>
              </w:rPr>
              <w:t>na rynku krajowym. Sprzedaż Grupy Budimex wspomagana była również</w:t>
            </w:r>
            <w:r w:rsidR="00152702" w:rsidRPr="000653A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przez rozpoznanie pierwszych istotnych przychodów z działalności na rynkach zagranicznych. </w:t>
            </w:r>
          </w:p>
          <w:p w14:paraId="211F2B1C" w14:textId="77777777" w:rsidR="009D0F56" w:rsidRPr="000653AD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3C58B47" w14:textId="03A4CEE0" w:rsidR="009D0F56" w:rsidRPr="000653AD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operacyjna segmentu budowlanego w omawianym okresie wyniosła </w:t>
            </w:r>
            <w:r w:rsidR="00947490"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8</w:t>
            </w:r>
            <w:r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947490"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0</w:t>
            </w:r>
            <w:r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i była wyższa o </w:t>
            </w:r>
            <w:r w:rsidR="00947490"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947490"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0</w:t>
            </w:r>
            <w:r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punkt</w:t>
            </w:r>
            <w:r w:rsidR="00947490"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</w:t>
            </w:r>
            <w:r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procentowe w porównaniu do </w:t>
            </w:r>
            <w:r w:rsidR="00947490" w:rsidRPr="000653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roku 2022.</w:t>
            </w:r>
          </w:p>
          <w:p w14:paraId="0C7D0A89" w14:textId="77777777" w:rsidR="009D0F56" w:rsidRPr="00EF05BC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</w:pPr>
          </w:p>
          <w:p w14:paraId="10697803" w14:textId="31D99667" w:rsidR="00F306FD" w:rsidRPr="00F57A15" w:rsidRDefault="00F306FD" w:rsidP="00F306F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F306F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Poprawa rentowności operacyjnej względem ubiegłego roku była możliwa między innymi dzięki zdywersyfikowanemu portfelowi zamówień oraz stabilizacji cen kluczowych materiałów budowlanych, takich jak stal, a także dzięki zabezpieczeniu cen asfaltu. </w:t>
            </w:r>
          </w:p>
          <w:p w14:paraId="795FACB8" w14:textId="77777777" w:rsidR="009D0F56" w:rsidRPr="00EF05BC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</w:pPr>
          </w:p>
          <w:p w14:paraId="63136921" w14:textId="1F291953" w:rsidR="000535E9" w:rsidRDefault="008507A5" w:rsidP="000535E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</w:t>
            </w:r>
            <w:r w:rsidR="000535E9" w:rsidRPr="003A59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entowność na poziomie zysku brutto była wspierana </w:t>
            </w:r>
            <w:r w:rsidR="000535E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przez</w:t>
            </w:r>
            <w:r w:rsidR="000535E9" w:rsidRPr="003A59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pozytywny wynik uzyskany na działalności finansowej z tytułu odsetek uzyskanych od depozytów</w:t>
            </w:r>
            <w:r w:rsidR="000535E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bankowych</w:t>
            </w:r>
            <w:r w:rsidR="000535E9" w:rsidRPr="003A59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0535E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 </w:t>
            </w:r>
          </w:p>
          <w:p w14:paraId="309B9276" w14:textId="77777777" w:rsidR="002756E4" w:rsidRDefault="002756E4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985451F" w14:textId="77777777" w:rsidR="00B2537D" w:rsidRDefault="00B2537D" w:rsidP="009D0F56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5723EA5A" w14:textId="77777777" w:rsidR="00B2537D" w:rsidRDefault="00B2537D" w:rsidP="009D0F56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65C3BF64" w14:textId="77777777" w:rsidR="00B2537D" w:rsidRDefault="00B2537D" w:rsidP="009D0F56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033B742A" w14:textId="17E27589" w:rsidR="002756E4" w:rsidRPr="002756E4" w:rsidRDefault="002756E4" w:rsidP="009D0F56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Nowe kontrakty i portfel zamówień</w:t>
            </w:r>
          </w:p>
          <w:p w14:paraId="4075F402" w14:textId="77777777" w:rsidR="009D0F56" w:rsidRPr="004C7FFA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81EB5D0" w14:textId="0DC5AD14" w:rsidR="009D0F56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2023 roku pozyskaliśmy kontrakty o wartości</w:t>
            </w:r>
            <w:r w:rsidR="000535E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DB30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8,3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miliarda złotych. Znalazły się wśród nich takie inwestycje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jak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: Obwodnica Zabierzowa w ciągu DK 79, Linia kolejowa 104 Chabówka – Rabka Zaryte, </w:t>
            </w:r>
            <w:r w:rsidR="00BA0CED" w:rsidRPr="00BA0CE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Remont Autostrady A1 Rusocin-Czerniewice</w:t>
            </w:r>
            <w:r w:rsidR="00BA0CE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</w:t>
            </w:r>
            <w:r w:rsidR="00BA0CED" w:rsidRPr="00BA0CE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S8 Wrocław-Kłodzko zad.3 Jordanów Śląski</w:t>
            </w:r>
            <w:r w:rsidR="00BA0CE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czy kontrakt kolejowy na </w:t>
            </w:r>
            <w:r w:rsidR="00BA0CED" w:rsidRPr="00221FA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realizację kompleksowych robót budowlanych obejmujących infrastrukturę kolejową</w:t>
            </w:r>
            <w:r w:rsidR="00BA0CE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</w:t>
            </w:r>
            <w:r w:rsidR="00BA0CED" w:rsidRPr="00221FA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drogową ‎na ‎odcinku Tychy – Most Wisła</w:t>
            </w:r>
            <w:r w:rsidR="009359E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p w14:paraId="6E1BF5E1" w14:textId="34D8BAF8" w:rsidR="008507A5" w:rsidRDefault="008507A5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68D1203" w14:textId="79897DBA" w:rsidR="009D0F56" w:rsidRDefault="006B02FE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Grudniu 2023 konsorcjum</w:t>
            </w:r>
            <w:r w:rsidR="00F078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skład którego wchodzą: Eiffage Genie </w:t>
            </w:r>
            <w:proofErr w:type="spellStart"/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Civil</w:t>
            </w:r>
            <w:proofErr w:type="spellEnd"/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, </w:t>
            </w:r>
            <w:proofErr w:type="spellStart"/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Rizzani</w:t>
            </w:r>
            <w:proofErr w:type="spellEnd"/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de </w:t>
            </w:r>
            <w:proofErr w:type="spellStart"/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Eccher</w:t>
            </w:r>
            <w:proofErr w:type="spellEnd"/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S.p.A</w:t>
            </w:r>
            <w:proofErr w:type="spellEnd"/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oraz Budimex SA podpisało umowę na realizację pierwszego etapu prac na budowę głównej linii kolejowej „</w:t>
            </w:r>
            <w:proofErr w:type="spellStart"/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Rail</w:t>
            </w:r>
            <w:proofErr w:type="spellEnd"/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Baltica</w:t>
            </w:r>
            <w:proofErr w:type="spellEnd"/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” na Łotwie. Budimex SA posiada ponad 30% udziału w ww. konsorcjum. Wartość prac do wykonania przez </w:t>
            </w:r>
            <w:r w:rsidR="0049776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</w:t>
            </w:r>
            <w:r w:rsidR="00497761"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onsorcjum </w:t>
            </w:r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ramach pierwszego zlecenia wynosi około 200 milionów </w:t>
            </w:r>
            <w:r w:rsidR="00322BD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euro</w:t>
            </w:r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a budżet całego kontraktu jest szacowany na blisko 3,7 </w:t>
            </w:r>
            <w:r w:rsidR="00497761" w:rsidRPr="0025047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miliarda</w:t>
            </w:r>
            <w:r w:rsidR="00D74BF9" w:rsidRPr="0025047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euro</w:t>
            </w:r>
            <w:r w:rsidRPr="0025047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Realizacja</w:t>
            </w:r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całego projektu będzie prowadzona przez kilka nadchodzących lat</w:t>
            </w:r>
            <w:r w:rsidR="009758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co powinno dodatkowo wspierać </w:t>
            </w:r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utrzymanie wysokiego i zdywersyfikowanego geograficznie portfela zamówień</w:t>
            </w:r>
            <w:r w:rsidR="009146E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Grupy</w:t>
            </w:r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p w14:paraId="53DF33C8" w14:textId="77777777" w:rsidR="008507A5" w:rsidRDefault="008507A5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36896B3" w14:textId="3C06F547" w:rsidR="008507A5" w:rsidRPr="00C3756A" w:rsidRDefault="008507A5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Portfel zamówień Grupy Budimex na koniec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2023 roku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przekraczał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miliardów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złotych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co zabezpiecza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front prac na kolejne dwa lata.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Intensyfikacja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prac nad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pozyskiwaniem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nowych ‎projektów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kraju i za granicą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sprawiła, że ‎wartość projektów oczekujących na podpisanie, oraz takich, gdzie oferta Budimex lub spółek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 Grupy została oceniona najwyżej, lub zajmuje najlepszą pozycję przetargową to aktualnie blisko 13 miliardów złotych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P</w:t>
            </w:r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onad 7 miliardów złotych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 tej kwoty</w:t>
            </w:r>
            <w:r w:rsidRPr="00445FC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przypada na kontrakty na rynkach zagranicznych – czeskim oraz łotewskim. </w:t>
            </w:r>
          </w:p>
          <w:p w14:paraId="3CF8B044" w14:textId="77777777" w:rsidR="009D0F56" w:rsidRPr="001C04E7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</w:pPr>
          </w:p>
          <w:p w14:paraId="6E3E8F44" w14:textId="51B68FA5" w:rsidR="003542F5" w:rsidRDefault="009D0F56" w:rsidP="00ED37C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016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Grupa Budimex zakończyła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Pr="00016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2023 rok z </w:t>
            </w:r>
            <w:r w:rsidR="00DF1B7A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wysoką </w:t>
            </w:r>
            <w:r w:rsidRPr="00016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pozycją gotówkową netto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, przekraczającą </w:t>
            </w:r>
            <w:r w:rsid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3</w:t>
            </w:r>
            <w:r w:rsidRPr="00016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</w:t>
            </w:r>
            <w:r w:rsidR="000653A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7</w:t>
            </w:r>
            <w:r w:rsidRPr="00016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miliarda złotych. </w:t>
            </w:r>
            <w:r w:rsidRPr="000162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czerwcu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15 rok</w:t>
            </w:r>
            <w:r w:rsidR="00E7299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 rzędu</w:t>
            </w:r>
            <w:r w:rsidR="00F85DD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wypłaciliśmy dywidendę </w:t>
            </w:r>
            <w:r w:rsidRPr="000162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wysokości 459 milionów złotych, co stanowi 17,99 zł</w:t>
            </w:r>
            <w:r w:rsidR="00F85DD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otych</w:t>
            </w:r>
            <w:r w:rsidRPr="000162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 przeliczeniu na jedną akcję.</w:t>
            </w:r>
            <w:r w:rsidRPr="00080EA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Stabilna marżowość osiągana na kontraktach budowlanych w ostatnich kwartałach, połączona z efektywnym </w:t>
            </w:r>
            <w:r w:rsidR="00D74BF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zarządzaniem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kapitałem obrotowym oraz skrupulatną kontrolą kosztów stałych, pozwala Grupie Budimex na utrzymywanie bezpiecznego poziomu środków pieniężnych, które w przyszłości mogą zostać zainwestowanie w nowe obszary działalności.</w:t>
            </w:r>
          </w:p>
          <w:p w14:paraId="63E6971C" w14:textId="77777777" w:rsidR="00AD64EA" w:rsidRDefault="00AD64EA" w:rsidP="00ED37C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1A1CC53" w14:textId="77777777" w:rsidR="00AD64EA" w:rsidRDefault="00AD64EA" w:rsidP="00ED37C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70DEE37" w14:textId="77777777" w:rsidR="00AD64EA" w:rsidRDefault="00AD64EA" w:rsidP="00ED37CE">
            <w:pPr>
              <w:spacing w:line="360" w:lineRule="auto"/>
              <w:jc w:val="both"/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</w:pPr>
          </w:p>
          <w:p w14:paraId="7C7396F6" w14:textId="77777777" w:rsidR="00C3756A" w:rsidRDefault="00C3756A" w:rsidP="00ED37CE">
            <w:pPr>
              <w:spacing w:line="360" w:lineRule="auto"/>
              <w:jc w:val="both"/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</w:pPr>
          </w:p>
          <w:p w14:paraId="211870B9" w14:textId="77777777" w:rsidR="00FD252F" w:rsidRPr="00080EA6" w:rsidRDefault="00FD252F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6BF7E76" w14:textId="4CC0D9D3" w:rsidR="00FD252F" w:rsidRDefault="0001727E" w:rsidP="00D4399C">
            <w:pPr>
              <w:spacing w:line="360" w:lineRule="auto"/>
              <w:jc w:val="both"/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</w:pPr>
            <w:r w:rsidRPr="002759C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  <w:highlight w:val="cya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8B69C2" wp14:editId="12BB66F5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9931207</wp:posOffset>
                      </wp:positionV>
                      <wp:extent cx="6487795" cy="244475"/>
                      <wp:effectExtent l="0" t="0" r="0" b="31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779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54039" w14:textId="77777777" w:rsidR="0001727E" w:rsidRPr="002B1C9B" w:rsidRDefault="0001727E" w:rsidP="0001727E">
                                  <w:pP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2B1C9B"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*dane pro-forma, sporządzone przy założeniu konsolidacji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Grupy FBSerwis od 01.01.2019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B69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0;margin-top:782pt;width:510.85pt;height:1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x6FwIAACwEAAAOAAAAZHJzL2Uyb0RvYy54bWysU8tu2zAQvBfoPxC815JdOU4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" filled="f" stroked="f" strokeweight=".5pt">
                      <v:textbox>
                        <w:txbxContent>
                          <w:p w14:paraId="40C54039" w14:textId="77777777" w:rsidR="0001727E" w:rsidRPr="002B1C9B" w:rsidRDefault="0001727E" w:rsidP="0001727E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B1C9B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*dane pro-forma, sporządzone przy założeniu konsolidacji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Grupy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FBSerwis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od 01.01.2019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4A571D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Sprzedaż segmentu usługowego wyniosła 932 miliony złotych.</w:t>
            </w:r>
          </w:p>
          <w:p w14:paraId="307553FE" w14:textId="32AFF2D3" w:rsidR="00D4399C" w:rsidRPr="001D4924" w:rsidRDefault="00D4399C" w:rsidP="00D4399C">
            <w:pPr>
              <w:spacing w:line="360" w:lineRule="auto"/>
              <w:jc w:val="both"/>
              <w:rPr>
                <w:rStyle w:val="Odwoaniedokomentarza"/>
                <w:highlight w:val="yellow"/>
              </w:rPr>
            </w:pPr>
          </w:p>
          <w:tbl>
            <w:tblPr>
              <w:tblW w:w="6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1420"/>
              <w:gridCol w:w="1440"/>
              <w:gridCol w:w="1240"/>
            </w:tblGrid>
            <w:tr w:rsidR="002759CA" w:rsidRPr="002759CA" w14:paraId="5A8250F4" w14:textId="77777777" w:rsidTr="002759CA">
              <w:trPr>
                <w:trHeight w:val="349"/>
              </w:trPr>
              <w:tc>
                <w:tcPr>
                  <w:tcW w:w="2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6479CA6F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  <w:bookmarkStart w:id="0" w:name="_Hlk77692426"/>
                  <w:bookmarkStart w:id="1" w:name="_Hlk100758814"/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Segment usługowy</w:t>
                  </w:r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br/>
                    <w:t>(mln zł)</w:t>
                  </w:r>
                </w:p>
              </w:tc>
              <w:tc>
                <w:tcPr>
                  <w:tcW w:w="4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2F57E894" w14:textId="77777777" w:rsidR="002759CA" w:rsidRPr="002759CA" w:rsidRDefault="002759CA" w:rsidP="002759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</w:tr>
            <w:tr w:rsidR="002759CA" w:rsidRPr="002759CA" w14:paraId="68002FD1" w14:textId="77777777" w:rsidTr="002759CA">
              <w:trPr>
                <w:trHeight w:val="525"/>
              </w:trPr>
              <w:tc>
                <w:tcPr>
                  <w:tcW w:w="2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687CA7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4782EE9B" w14:textId="77777777" w:rsidR="002759CA" w:rsidRPr="002759CA" w:rsidRDefault="002759CA" w:rsidP="002759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2759CA">
                    <w:rPr>
                      <w:rFonts w:ascii="Tahoma" w:eastAsia="Times New Roman" w:hAnsi="Tahoma" w:cs="Tahoma"/>
                      <w:color w:val="000000"/>
                    </w:rPr>
                    <w:t>2023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05088548" w14:textId="77777777" w:rsidR="002759CA" w:rsidRPr="002759CA" w:rsidRDefault="002759CA" w:rsidP="002759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2759CA">
                    <w:rPr>
                      <w:rFonts w:ascii="Tahoma" w:eastAsia="Times New Roman" w:hAnsi="Tahoma" w:cs="Tahoma"/>
                      <w:color w:val="000000"/>
                    </w:rPr>
                    <w:t>2022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32EDCDE2" w14:textId="77777777" w:rsidR="002759CA" w:rsidRPr="002759CA" w:rsidRDefault="002759CA" w:rsidP="002759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2759CA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2759CA" w:rsidRPr="002759CA" w14:paraId="004A5487" w14:textId="77777777" w:rsidTr="002759CA">
              <w:trPr>
                <w:trHeight w:val="420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A374129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4CBB2BC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932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7594C543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821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7609BEA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13,5%</w:t>
                  </w:r>
                </w:p>
              </w:tc>
            </w:tr>
            <w:tr w:rsidR="002759CA" w:rsidRPr="002759CA" w14:paraId="72115499" w14:textId="77777777" w:rsidTr="002759CA">
              <w:trPr>
                <w:trHeight w:val="420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E995D77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CA36E55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68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4CC7B69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92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3A73E63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-26,5%</w:t>
                  </w:r>
                </w:p>
              </w:tc>
            </w:tr>
            <w:tr w:rsidR="002759CA" w:rsidRPr="002759CA" w14:paraId="478D7634" w14:textId="77777777" w:rsidTr="002759CA">
              <w:trPr>
                <w:trHeight w:val="252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DE75C82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FD4A27F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color w:val="404040"/>
                    </w:rPr>
                    <w:t>7,3%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B6AAF9D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color w:val="404040"/>
                    </w:rPr>
                    <w:t>11,2%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6DFECD5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color w:val="404040"/>
                    </w:rPr>
                    <w:t>-3,9% pp.</w:t>
                  </w:r>
                </w:p>
              </w:tc>
            </w:tr>
            <w:tr w:rsidR="002759CA" w:rsidRPr="002759CA" w14:paraId="7F994A99" w14:textId="77777777" w:rsidTr="002759CA">
              <w:trPr>
                <w:trHeight w:val="420"/>
              </w:trPr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8FC8607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AAE8BEB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71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53A73E4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99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E7CAA2D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-28,9%</w:t>
                  </w:r>
                </w:p>
              </w:tc>
            </w:tr>
            <w:tr w:rsidR="002759CA" w:rsidRPr="002759CA" w14:paraId="4CB1F74F" w14:textId="77777777" w:rsidTr="002759CA">
              <w:trPr>
                <w:trHeight w:val="252"/>
              </w:trPr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6CFD003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D6BC374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color w:val="404040"/>
                    </w:rPr>
                    <w:t>7,6%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A36141B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color w:val="404040"/>
                    </w:rPr>
                    <w:t>12,1%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7AE16EA" w14:textId="77777777" w:rsidR="002759CA" w:rsidRPr="002759CA" w:rsidRDefault="002759CA" w:rsidP="002759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759CA">
                    <w:rPr>
                      <w:rFonts w:ascii="Tahoma" w:eastAsia="Times New Roman" w:hAnsi="Tahoma" w:cs="Tahoma"/>
                      <w:color w:val="404040"/>
                    </w:rPr>
                    <w:t>-4,5% pp.</w:t>
                  </w:r>
                </w:p>
              </w:tc>
            </w:tr>
          </w:tbl>
          <w:p w14:paraId="3C880982" w14:textId="63BC3EB2" w:rsidR="00277101" w:rsidRPr="001D4924" w:rsidRDefault="00277101" w:rsidP="00277101">
            <w:pPr>
              <w:rPr>
                <w:highlight w:val="yellow"/>
              </w:rPr>
            </w:pPr>
          </w:p>
          <w:p w14:paraId="7CF89E16" w14:textId="63B18D86" w:rsidR="004E6EA9" w:rsidRDefault="00D74729" w:rsidP="004E6E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bookmarkStart w:id="2" w:name="_Hlk140234412"/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Przychody Grupy </w:t>
            </w:r>
            <w:proofErr w:type="spellStart"/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FBSerwis</w:t>
            </w:r>
            <w:proofErr w:type="spellEnd"/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będącej kluczowym aktywem w ramach segmentu usługowego (wyniki części usługowej obejmują również działalności </w:t>
            </w:r>
            <w:r w:rsidR="00C96A9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spółek z obszaru OZE oraz</w:t>
            </w:r>
            <w:r w:rsidR="007760E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Parking Wrocław)</w:t>
            </w:r>
            <w:r w:rsidR="001C1C4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wyniosły </w:t>
            </w:r>
            <w:r w:rsidR="004A57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924,1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 i były </w:t>
            </w:r>
            <w:r w:rsidR="00CC47BA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 </w:t>
            </w:r>
            <w:r w:rsidR="004A57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13</w:t>
            </w:r>
            <w:r w:rsidR="00CC47BA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wyższe w porównaniu 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 analogicznego okresu roku poprzedniego</w:t>
            </w:r>
            <w:r w:rsidRPr="004A57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3615FB" w:rsidRPr="004A57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bookmarkStart w:id="3" w:name="_Hlk148344713"/>
            <w:r w:rsidR="004E6EA9" w:rsidRPr="004A57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Wzrost </w:t>
            </w:r>
            <w:r w:rsidR="002977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wartości</w:t>
            </w:r>
            <w:r w:rsidR="002977A5" w:rsidRPr="004A57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E6EA9" w:rsidRPr="004A57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sprzedaży został osiągnięty w każdym z segmentów działalności oraz był wyższy niż nasze wewnętrzne plany.</w:t>
            </w:r>
            <w:r w:rsidR="004E6EA9" w:rsidRPr="004E6E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5DD1B528" w14:textId="77777777" w:rsidR="0069312F" w:rsidRDefault="0069312F" w:rsidP="004E6E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949523A" w14:textId="3C91BB29" w:rsidR="0069312F" w:rsidRPr="003542F5" w:rsidRDefault="0069312F" w:rsidP="0069312F">
            <w:pPr>
              <w:spacing w:line="360" w:lineRule="auto"/>
              <w:jc w:val="both"/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</w:pPr>
            <w:r w:rsidRPr="003542F5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Energia</w:t>
            </w:r>
            <w:r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odnawialna</w:t>
            </w:r>
            <w:r w:rsidRPr="003542F5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i elektromobilność</w:t>
            </w:r>
          </w:p>
          <w:p w14:paraId="7CE44E76" w14:textId="77777777" w:rsidR="0069312F" w:rsidRPr="00D17042" w:rsidRDefault="0069312F" w:rsidP="0069312F">
            <w:pPr>
              <w:spacing w:line="360" w:lineRule="auto"/>
              <w:jc w:val="both"/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</w:pPr>
          </w:p>
          <w:p w14:paraId="5DA30B70" w14:textId="50DF3FAD" w:rsidR="0069312F" w:rsidRPr="004077DC" w:rsidRDefault="0069312F" w:rsidP="0069312F">
            <w:pPr>
              <w:spacing w:line="360" w:lineRule="auto"/>
              <w:jc w:val="both"/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Ubiegły rok był dla nas wyjątkowy pod względem nowych gałęzi działalności, czyli energii odnawialnej i elektromobilności. </w:t>
            </w:r>
            <w:r w:rsidRPr="004077D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We wrześniu nasza pierwsza farma wiatrowa rozpoczęła produkcję zielonej energii. </w:t>
            </w:r>
            <w:r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W trakcie roku powołaliśmy nową spółkę</w:t>
            </w:r>
            <w:r w:rsidRPr="004077D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BXF Energia</w:t>
            </w:r>
            <w:r w:rsidR="0025047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</w:t>
            </w:r>
            <w:r w:rsidR="0025047C" w:rsidRPr="0025047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Celem spółki jest rozwój projektów odnawialnych źródeł energii, ich budowa oraz eksploatacja. Spółka skupia się na projektach w technologii farm fotowoltaicznych i wiatrowych, których </w:t>
            </w:r>
            <w:r w:rsidR="0025047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przygotowanie</w:t>
            </w:r>
            <w:r w:rsidR="0025047C" w:rsidRPr="0025047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rozpoczęła zabezpieczając kolejne lokalizacje dla potencjalnych elektrowni o mocy kilkuset MW.</w:t>
            </w:r>
          </w:p>
          <w:p w14:paraId="52FAAA38" w14:textId="77777777" w:rsidR="0069312F" w:rsidRPr="004077DC" w:rsidRDefault="0069312F" w:rsidP="0069312F">
            <w:pPr>
              <w:spacing w:line="360" w:lineRule="auto"/>
              <w:jc w:val="both"/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</w:pPr>
          </w:p>
          <w:p w14:paraId="7560FAB6" w14:textId="1F9ABEE5" w:rsidR="0069312F" w:rsidRPr="00BC351E" w:rsidRDefault="0069312F" w:rsidP="0069312F">
            <w:pPr>
              <w:spacing w:line="360" w:lineRule="auto"/>
              <w:jc w:val="both"/>
              <w:rPr>
                <w:rFonts w:ascii="Tahoma" w:eastAsia="Tahoma" w:hAnsi="Tahoma" w:cs="Tahoma"/>
                <w:bCs/>
                <w:strike/>
                <w:noProof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Z drugiej strony s</w:t>
            </w:r>
            <w:r w:rsidRPr="004077D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ukcesywnie budujemy nasz potencjał w obszarze elektromobilności. </w:t>
            </w:r>
            <w:r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Jesteśmy jednym z największych graczy w obszarze</w:t>
            </w:r>
            <w:r w:rsidRPr="004077D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krajowej infrastruktury ładowania pojazdów elektrycznych. </w:t>
            </w:r>
            <w:r w:rsidR="00145D8E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Aktualnie Budimex Mobility posiada ponad</w:t>
            </w:r>
            <w:r w:rsidRPr="004077D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1</w:t>
            </w:r>
            <w:r w:rsidR="008507A5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6</w:t>
            </w:r>
            <w:r w:rsidRPr="004077D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0 ogólnodostępnych ładowarek</w:t>
            </w:r>
            <w:r w:rsidR="002977A5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,</w:t>
            </w:r>
            <w:r w:rsidRPr="004077D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a wewnętrzne plany zakładają 230 ładowarek na koniec 2024 roku</w:t>
            </w:r>
            <w:r w:rsidR="002977A5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.</w:t>
            </w:r>
          </w:p>
          <w:p w14:paraId="1CE8DDAA" w14:textId="68D5A89A" w:rsidR="00D74729" w:rsidRDefault="00D74729" w:rsidP="00D7472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FF0000"/>
                <w:sz w:val="18"/>
                <w:szCs w:val="18"/>
                <w:highlight w:val="yellow"/>
              </w:rPr>
            </w:pPr>
          </w:p>
          <w:bookmarkEnd w:id="0"/>
          <w:bookmarkEnd w:id="1"/>
          <w:bookmarkEnd w:id="2"/>
          <w:bookmarkEnd w:id="3"/>
          <w:p w14:paraId="78B44991" w14:textId="77777777" w:rsidR="00815619" w:rsidRPr="004A571D" w:rsidRDefault="00815619" w:rsidP="00775CA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0000"/>
                <w:sz w:val="18"/>
                <w:szCs w:val="18"/>
                <w:highlight w:val="magenta"/>
              </w:rPr>
            </w:pPr>
          </w:p>
          <w:p w14:paraId="7F73EAFE" w14:textId="77777777" w:rsidR="00C96A98" w:rsidRPr="004077DC" w:rsidRDefault="00C96A98" w:rsidP="00C96A9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4077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Perspektywy rynkowe</w:t>
            </w:r>
          </w:p>
          <w:p w14:paraId="1D0B05AA" w14:textId="77777777" w:rsidR="00C96A98" w:rsidRPr="004077DC" w:rsidRDefault="00C96A98" w:rsidP="00C96A9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AE51A1B" w14:textId="0E9A1203" w:rsidR="00C96A98" w:rsidRPr="004077DC" w:rsidRDefault="00145D8E" w:rsidP="00C96A9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Wchodzimy w nowy rok z portfelem zamówień przekraczającym 13 miliardów złotych i</w:t>
            </w:r>
            <w:r w:rsidR="005316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rekordowym poziomem kontraktów oczekujących na podpisanie. </w:t>
            </w:r>
            <w:r w:rsidR="007615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Nasz portfel jest zdrowy,</w:t>
            </w:r>
            <w:r w:rsidR="0043350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615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zbudowany na kontraktach podpisanych w ostatnich 2 latach, które ofertowan</w:t>
            </w:r>
            <w:r w:rsidR="0043350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</w:t>
            </w:r>
            <w:r w:rsidR="007615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były po aktualnych cenach</w:t>
            </w:r>
            <w:r w:rsidR="002977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7615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 dodatkowo w większości projektów </w:t>
            </w:r>
            <w:r w:rsidR="007615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przewidziana jest waloryzacja.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otoczeniu wysokiej konkurencji i spodziewanej niższej podaży przetargów u głównych zamawiających</w:t>
            </w:r>
            <w:r w:rsidR="00C96A98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daje nam to </w:t>
            </w:r>
            <w:r w:rsidR="007615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perspektywę stabilnej marży i jednocześnie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komfort działalności</w:t>
            </w:r>
            <w:r w:rsidR="002977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oraz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pewność </w:t>
            </w:r>
            <w:r w:rsidR="00C96A98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wykorzystania naszych mocy produkcyjnych </w:t>
            </w:r>
            <w:r w:rsidR="007615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przez najbliższe</w:t>
            </w:r>
            <w:r w:rsidR="00C96A98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</w:t>
            </w:r>
            <w:r w:rsidR="00255A62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-3</w:t>
            </w:r>
            <w:r w:rsidR="00C96A98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lat</w:t>
            </w:r>
            <w:r w:rsidR="007615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="00C96A98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7615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15C6CF25" w14:textId="77777777" w:rsidR="00F0217B" w:rsidRPr="004077DC" w:rsidRDefault="00F0217B" w:rsidP="00C96A9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6E80961" w14:textId="03960029" w:rsidR="00145D8E" w:rsidRDefault="00145D8E" w:rsidP="00C96A9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D469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rynku lokalnym nieustannie obserwujemy agresywną walkę o zlecenia zarówno </w:t>
            </w:r>
            <w:r w:rsidRPr="00D469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 xml:space="preserve">w obszarze drogowym, kolejowym jak i kubaturowym.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Dodatkowo konsekwentnie</w:t>
            </w:r>
            <w:r w:rsidRPr="00D469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25047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napotykamy</w:t>
            </w:r>
            <w:r w:rsidR="0025047C" w:rsidRPr="00D469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silną konkurencję</w:t>
            </w:r>
            <w:r w:rsidRPr="00D469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ze strony podmiotów zagranicznych. Startując w</w:t>
            </w:r>
            <w:r w:rsidR="005316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D469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przetargach poza Polską najczęściej musimy przejść proces certyfikacji – chcielibyśmy mieć poczucie, że firmy budowlane z zagranicy są weryfikowane i</w:t>
            </w:r>
            <w:r w:rsidR="005316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D469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certyfikowane w Polsce tak samo jak</w:t>
            </w:r>
            <w:r w:rsidR="008507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polskie firmy</w:t>
            </w:r>
            <w:r w:rsidRPr="00D469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507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– jak Budimex – w innych </w:t>
            </w:r>
            <w:r w:rsidRPr="00D469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krajach</w:t>
            </w:r>
            <w:r w:rsidR="0025047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507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UE.</w:t>
            </w:r>
            <w:r w:rsidR="007615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rynku lokalnym mamy już pierwsze przypadki dodatkowej weryfikacji oferentów</w:t>
            </w:r>
            <w:r w:rsidR="00E46B8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pod kątem zdobytych referencji, natomiast są to wyjątki. </w:t>
            </w:r>
          </w:p>
          <w:p w14:paraId="77FC884D" w14:textId="77777777" w:rsidR="00145D8E" w:rsidRDefault="00145D8E" w:rsidP="00C96A9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227655C" w14:textId="5B3BEE63" w:rsidR="00C96A98" w:rsidRPr="00145D8E" w:rsidRDefault="007615A5" w:rsidP="00C96A9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Ubiegły rok był dla Grupy Budimex czasem intensyfikacji działań na rynkach zagranicznych.</w:t>
            </w:r>
            <w:r w:rsidR="00E46B8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3350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Rozwijaliśmy</w:t>
            </w:r>
            <w:r w:rsidR="00E46B8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struktury na rynku niemieckim, słowacki, czeskim i</w:t>
            </w:r>
            <w:r w:rsidR="005316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E46B8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łotewski</w:t>
            </w:r>
            <w:r w:rsidR="0043350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</w:t>
            </w:r>
            <w:r w:rsidR="00E46B8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Pozyskaliśmy historyczny dla nas kontrakt </w:t>
            </w:r>
            <w:proofErr w:type="spellStart"/>
            <w:r w:rsidR="00E46B8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Rail</w:t>
            </w:r>
            <w:proofErr w:type="spellEnd"/>
            <w:r w:rsidR="00E46B8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E46B8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Baltica</w:t>
            </w:r>
            <w:proofErr w:type="spellEnd"/>
            <w:r w:rsidR="00E46B8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 także pierwszy kontrakt na rynku czeskim – Polder </w:t>
            </w:r>
            <w:proofErr w:type="spellStart"/>
            <w:r w:rsidR="00E46B83" w:rsidRPr="00E46B8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Kutřin</w:t>
            </w:r>
            <w:proofErr w:type="spellEnd"/>
            <w:r w:rsidR="008507A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 wartości </w:t>
            </w:r>
            <w:r w:rsidR="00AF0EC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113 mln zł.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Mając na uwadze zaostrzoną konkurencję na rynku lokalnym tym bardziej pozytywnie o</w:t>
            </w:r>
            <w:r w:rsidR="00C96A98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ceniamy, że decyzje o dywersyfikacji segmentowej a także ekspansja na rynki zagraniczne to właściwe kierunki</w:t>
            </w:r>
            <w:r w:rsidR="00E46B8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C96A98" w:rsidRPr="00407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Mamy odpowiedni sprzęt, ludzi, kapitał i doświadczenie, aby realizować tak złożone kontrakty w Polsce i za granicą – to dla nas szansa na wzmocnienie pozycji Grupy Budimex jako wiodącej firmy budowlanej w obszarze Europy Środkowo-Wschodniej.</w:t>
            </w:r>
            <w:r w:rsidR="00C96A98" w:rsidRPr="00145D8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44BE80C7" w14:textId="75187DB9" w:rsidR="00DE4D7D" w:rsidRPr="00FC43CA" w:rsidRDefault="00DE4D7D" w:rsidP="0043350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B5F2F21" w14:textId="2DED115D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6D9FE0D9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2981D933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75763072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522D8B16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83DA6A1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02E4DF3" w14:textId="77777777" w:rsidR="00D824D3" w:rsidRPr="00FC43CA" w:rsidRDefault="00D824D3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</w:p>
          <w:p w14:paraId="7B71267C" w14:textId="77777777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  <w:r w:rsidRPr="00775CAB"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45C07FB4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>Michał Wrzosek</w:t>
            </w:r>
            <w:r w:rsidR="0053503C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-</w:t>
            </w: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Rzecznik Prasowy</w:t>
            </w:r>
          </w:p>
          <w:p w14:paraId="742DC472" w14:textId="77777777" w:rsidR="00D824D3" w:rsidRPr="00B2537D" w:rsidRDefault="00B63B5B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4"/>
                <w:szCs w:val="14"/>
              </w:rPr>
            </w:pPr>
            <w:r w:rsidRPr="00B2537D">
              <w:rPr>
                <w:rFonts w:ascii="Verdana" w:eastAsia="Verdana" w:hAnsi="Verdana" w:cs="Verdana"/>
                <w:bCs/>
                <w:color w:val="808080"/>
                <w:sz w:val="14"/>
                <w:szCs w:val="14"/>
              </w:rPr>
              <w:t xml:space="preserve">tel. (22) 62 36 164, 512 478 522, </w:t>
            </w:r>
          </w:p>
          <w:p w14:paraId="1AD63FF4" w14:textId="77777777" w:rsidR="00D824D3" w:rsidRPr="00B2537D" w:rsidRDefault="00675000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4"/>
                <w:szCs w:val="14"/>
              </w:rPr>
            </w:pPr>
            <w:hyperlink r:id="rId12">
              <w:r w:rsidR="00B63B5B" w:rsidRPr="00B2537D">
                <w:rPr>
                  <w:rFonts w:ascii="Verdana" w:eastAsia="Verdana" w:hAnsi="Verdana" w:cs="Verdana"/>
                  <w:bCs/>
                  <w:color w:val="808080"/>
                  <w:sz w:val="14"/>
                  <w:szCs w:val="14"/>
                  <w:u w:val="single"/>
                </w:rPr>
                <w:t>michal.wrzosek@budimex.pl</w:t>
              </w:r>
            </w:hyperlink>
          </w:p>
          <w:p w14:paraId="286034E8" w14:textId="77777777" w:rsidR="00D824D3" w:rsidRPr="00B2537D" w:rsidRDefault="00675000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14"/>
                <w:szCs w:val="14"/>
              </w:rPr>
            </w:pPr>
            <w:hyperlink r:id="rId13">
              <w:r w:rsidR="00B63B5B" w:rsidRPr="00B2537D">
                <w:rPr>
                  <w:rFonts w:ascii="Tahoma" w:eastAsia="Tahoma" w:hAnsi="Tahoma" w:cs="Tahoma"/>
                  <w:bCs/>
                  <w:color w:val="7F7F7F"/>
                  <w:sz w:val="14"/>
                  <w:szCs w:val="14"/>
                  <w:u w:val="single"/>
                </w:rPr>
                <w:t>www.media.budimex.pl</w:t>
              </w:r>
            </w:hyperlink>
          </w:p>
          <w:p w14:paraId="0DDA63C7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0E328550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331147F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CEC1C16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</w:tc>
      </w:tr>
    </w:tbl>
    <w:p w14:paraId="0F94B37D" w14:textId="1400CF1D" w:rsidR="006A0319" w:rsidRPr="004264BF" w:rsidRDefault="006A0319" w:rsidP="00AF0EC9">
      <w:pPr>
        <w:spacing w:line="360" w:lineRule="auto"/>
        <w:ind w:right="2552"/>
        <w:jc w:val="both"/>
        <w:rPr>
          <w:rFonts w:ascii="Tahoma" w:eastAsia="Tahoma" w:hAnsi="Tahoma" w:cs="Tahoma"/>
          <w:b/>
          <w:bCs/>
          <w:color w:val="808080"/>
          <w:sz w:val="18"/>
          <w:szCs w:val="18"/>
        </w:rPr>
      </w:pPr>
      <w:r w:rsidRPr="004264BF">
        <w:rPr>
          <w:rFonts w:ascii="Tahoma" w:eastAsia="Tahoma" w:hAnsi="Tahoma" w:cs="Tahoma"/>
          <w:b/>
          <w:bCs/>
          <w:color w:val="808080"/>
          <w:sz w:val="18"/>
          <w:szCs w:val="18"/>
        </w:rPr>
        <w:lastRenderedPageBreak/>
        <w:t>Działania społeczne i nagrody</w:t>
      </w:r>
    </w:p>
    <w:p w14:paraId="133BBE00" w14:textId="23956B35" w:rsidR="001B318B" w:rsidRDefault="00232C8A" w:rsidP="00AF0EC9">
      <w:pPr>
        <w:spacing w:line="360" w:lineRule="auto"/>
        <w:ind w:right="2552"/>
        <w:jc w:val="both"/>
        <w:rPr>
          <w:rFonts w:ascii="Tahoma" w:eastAsia="Tahoma" w:hAnsi="Tahoma" w:cs="Tahoma"/>
          <w:color w:val="808080"/>
          <w:sz w:val="18"/>
          <w:szCs w:val="18"/>
        </w:rPr>
      </w:pPr>
      <w:r>
        <w:rPr>
          <w:rFonts w:ascii="Tahoma" w:eastAsia="Tahoma" w:hAnsi="Tahoma" w:cs="Tahoma"/>
          <w:color w:val="808080"/>
          <w:sz w:val="18"/>
          <w:szCs w:val="18"/>
        </w:rPr>
        <w:t xml:space="preserve">Budimex, jak co roku, realizował swoje sztandarowe programy społeczne: kampanię bezpieczeństwa w ruchu drogowym: Hello ICE i wsparcia oddziałów dziecięcych w szpitalach: Strefa Rodzica. </w:t>
      </w:r>
      <w:r w:rsidR="001B318B" w:rsidRPr="001B318B">
        <w:rPr>
          <w:rFonts w:ascii="Tahoma" w:eastAsia="Tahoma" w:hAnsi="Tahoma" w:cs="Tahoma"/>
          <w:color w:val="808080"/>
          <w:sz w:val="18"/>
          <w:szCs w:val="18"/>
        </w:rPr>
        <w:t xml:space="preserve">We wspomnianym roku w spotkaniach z naszymi </w:t>
      </w:r>
      <w:r w:rsidR="001B318B">
        <w:rPr>
          <w:rFonts w:ascii="Tahoma" w:eastAsia="Tahoma" w:hAnsi="Tahoma" w:cs="Tahoma"/>
          <w:color w:val="808080"/>
          <w:sz w:val="18"/>
          <w:szCs w:val="18"/>
        </w:rPr>
        <w:t xml:space="preserve">edukatorami, </w:t>
      </w:r>
      <w:r w:rsidR="001B318B" w:rsidRPr="001B318B">
        <w:rPr>
          <w:rFonts w:ascii="Tahoma" w:eastAsia="Tahoma" w:hAnsi="Tahoma" w:cs="Tahoma"/>
          <w:color w:val="808080"/>
          <w:sz w:val="18"/>
          <w:szCs w:val="18"/>
        </w:rPr>
        <w:t>przedstawicielami policji i straży pożarnej wzięło udział łącznie ponad 20 tys. dzieci z placówek</w:t>
      </w:r>
      <w:r w:rsidR="001B318B">
        <w:rPr>
          <w:rFonts w:ascii="Tahoma" w:eastAsia="Tahoma" w:hAnsi="Tahoma" w:cs="Tahoma"/>
          <w:color w:val="808080"/>
          <w:sz w:val="18"/>
          <w:szCs w:val="18"/>
        </w:rPr>
        <w:t xml:space="preserve"> szkolnych. </w:t>
      </w:r>
    </w:p>
    <w:p w14:paraId="3CB2A4EB" w14:textId="3A6BBFC5" w:rsidR="00232C8A" w:rsidRDefault="00232C8A" w:rsidP="00AF0EC9">
      <w:pPr>
        <w:spacing w:line="360" w:lineRule="auto"/>
        <w:ind w:right="2552"/>
        <w:jc w:val="both"/>
        <w:rPr>
          <w:rFonts w:ascii="Tahoma" w:eastAsia="Tahoma" w:hAnsi="Tahoma" w:cs="Tahoma"/>
          <w:color w:val="808080"/>
          <w:sz w:val="18"/>
          <w:szCs w:val="18"/>
        </w:rPr>
      </w:pPr>
      <w:r>
        <w:rPr>
          <w:rFonts w:ascii="Tahoma" w:eastAsia="Tahoma" w:hAnsi="Tahoma" w:cs="Tahoma"/>
          <w:color w:val="808080"/>
          <w:sz w:val="18"/>
          <w:szCs w:val="18"/>
        </w:rPr>
        <w:t xml:space="preserve">W 2023 roku nowa Strefa Rodzica powstała w szpitalu w Ełku. Rozpoczęliśmy także III edycję akcji Dom z Serca. W jej ramach budujemy dom dla Pani Teresy z Wołomina pod Warszawą. Wcześniej takie domy zbudowaliśmy pod Radomskiem i w Borach Tucholskich dla rodzin wielodzietnych. </w:t>
      </w:r>
    </w:p>
    <w:p w14:paraId="56B673B6" w14:textId="75258D82" w:rsidR="006A0319" w:rsidRPr="006A0319" w:rsidRDefault="006A0319" w:rsidP="00AF0EC9">
      <w:pPr>
        <w:spacing w:line="360" w:lineRule="auto"/>
        <w:ind w:right="2552"/>
        <w:jc w:val="both"/>
        <w:rPr>
          <w:rFonts w:ascii="Tahoma" w:eastAsia="Tahoma" w:hAnsi="Tahoma" w:cs="Tahoma"/>
          <w:color w:val="808080"/>
          <w:sz w:val="18"/>
          <w:szCs w:val="18"/>
        </w:rPr>
      </w:pPr>
      <w:r w:rsidRPr="006A0319">
        <w:rPr>
          <w:rFonts w:ascii="Tahoma" w:eastAsia="Tahoma" w:hAnsi="Tahoma" w:cs="Tahoma"/>
          <w:color w:val="808080"/>
          <w:sz w:val="18"/>
          <w:szCs w:val="18"/>
        </w:rPr>
        <w:t xml:space="preserve">Stworzyliśmy nową salę edukacyjną Technikum Energetycznego w Bełchatowie. To nagroda w konkursie na najlepszy projekt CSR w ramach akcji „Praktyka, która z Tobą zostanie”, która jest inicjatywą Budimeksu realizowaną we współpracy z Fundacją Zwolnieni z Teorii. Zwycięzcy - grupa uczniów z Technikum Energetycznego w Bełchatowie - zdecydowała się wykorzystać nabyte w szkole umiejętności </w:t>
      </w:r>
      <w:r w:rsidRPr="006A0319">
        <w:rPr>
          <w:rFonts w:ascii="Tahoma" w:eastAsia="Tahoma" w:hAnsi="Tahoma" w:cs="Tahoma"/>
          <w:color w:val="808080"/>
          <w:sz w:val="18"/>
          <w:szCs w:val="18"/>
        </w:rPr>
        <w:lastRenderedPageBreak/>
        <w:t>budowlane i przeprowadziła renowację mieszkania dla rodziny z Ukrainy. Wspieraliśmy akcję Drugie Śniadanie skierowane do pierwszaków szkół podstawowych w Ełku.</w:t>
      </w:r>
      <w:r>
        <w:rPr>
          <w:rFonts w:ascii="Tahoma" w:eastAsia="Tahoma" w:hAnsi="Tahoma" w:cs="Tahoma"/>
          <w:color w:val="808080"/>
          <w:sz w:val="18"/>
          <w:szCs w:val="18"/>
        </w:rPr>
        <w:t xml:space="preserve"> </w:t>
      </w:r>
    </w:p>
    <w:p w14:paraId="6E7F5698" w14:textId="50BF5031" w:rsidR="00D824D3" w:rsidRDefault="006A0319" w:rsidP="00AF0EC9">
      <w:pPr>
        <w:spacing w:line="360" w:lineRule="auto"/>
        <w:ind w:right="2552"/>
        <w:jc w:val="both"/>
        <w:rPr>
          <w:rFonts w:ascii="Tahoma" w:eastAsia="Tahoma" w:hAnsi="Tahoma" w:cs="Tahoma"/>
          <w:color w:val="808080"/>
          <w:sz w:val="18"/>
          <w:szCs w:val="18"/>
        </w:rPr>
      </w:pPr>
      <w:r w:rsidRPr="006A0319">
        <w:rPr>
          <w:rFonts w:ascii="Tahoma" w:eastAsia="Tahoma" w:hAnsi="Tahoma" w:cs="Tahoma"/>
          <w:color w:val="808080"/>
          <w:sz w:val="18"/>
          <w:szCs w:val="18"/>
        </w:rPr>
        <w:t xml:space="preserve">Ponad </w:t>
      </w:r>
      <w:r>
        <w:rPr>
          <w:rFonts w:ascii="Tahoma" w:eastAsia="Tahoma" w:hAnsi="Tahoma" w:cs="Tahoma"/>
          <w:color w:val="808080"/>
          <w:sz w:val="18"/>
          <w:szCs w:val="18"/>
        </w:rPr>
        <w:t>30</w:t>
      </w:r>
      <w:r w:rsidRPr="006A0319">
        <w:rPr>
          <w:rFonts w:ascii="Tahoma" w:eastAsia="Tahoma" w:hAnsi="Tahoma" w:cs="Tahoma"/>
          <w:color w:val="808080"/>
          <w:sz w:val="18"/>
          <w:szCs w:val="18"/>
        </w:rPr>
        <w:t xml:space="preserve"> wspólnot mieszkaniowych i spółdzielni włączyło się w</w:t>
      </w:r>
      <w:r w:rsidR="00232C8A">
        <w:rPr>
          <w:rFonts w:ascii="Tahoma" w:eastAsia="Tahoma" w:hAnsi="Tahoma" w:cs="Tahoma"/>
          <w:color w:val="808080"/>
          <w:sz w:val="18"/>
          <w:szCs w:val="18"/>
        </w:rPr>
        <w:t xml:space="preserve"> dwie</w:t>
      </w:r>
      <w:r w:rsidRPr="006A0319">
        <w:rPr>
          <w:rFonts w:ascii="Tahoma" w:eastAsia="Tahoma" w:hAnsi="Tahoma" w:cs="Tahoma"/>
          <w:color w:val="808080"/>
          <w:sz w:val="18"/>
          <w:szCs w:val="18"/>
        </w:rPr>
        <w:t xml:space="preserve"> edycj</w:t>
      </w:r>
      <w:r w:rsidR="00232C8A">
        <w:rPr>
          <w:rFonts w:ascii="Tahoma" w:eastAsia="Tahoma" w:hAnsi="Tahoma" w:cs="Tahoma"/>
          <w:color w:val="808080"/>
          <w:sz w:val="18"/>
          <w:szCs w:val="18"/>
        </w:rPr>
        <w:t>e</w:t>
      </w:r>
      <w:r w:rsidRPr="006A0319">
        <w:rPr>
          <w:rFonts w:ascii="Tahoma" w:eastAsia="Tahoma" w:hAnsi="Tahoma" w:cs="Tahoma"/>
          <w:color w:val="808080"/>
          <w:sz w:val="18"/>
          <w:szCs w:val="18"/>
        </w:rPr>
        <w:t xml:space="preserve"> programu Przystanek Zieleń w Warszawie. Budimex kontynuuje program praktyk zawodowych dla uczniów i uczennic ‎techników budowlanych. </w:t>
      </w:r>
      <w:r>
        <w:rPr>
          <w:rFonts w:ascii="Tahoma" w:eastAsia="Tahoma" w:hAnsi="Tahoma" w:cs="Tahoma"/>
          <w:color w:val="808080"/>
          <w:sz w:val="18"/>
          <w:szCs w:val="18"/>
        </w:rPr>
        <w:t>Rozpoczęliśmy współpracę w zakresie praktyk z ponad 40 szkołami technicznymi i wyższymi w zakresie praktyk zawodowych i wspólnych badań.</w:t>
      </w:r>
      <w:r w:rsidR="00232C8A">
        <w:rPr>
          <w:rFonts w:ascii="Tahoma" w:eastAsia="Tahoma" w:hAnsi="Tahoma" w:cs="Tahoma"/>
          <w:color w:val="808080"/>
          <w:sz w:val="18"/>
          <w:szCs w:val="18"/>
        </w:rPr>
        <w:t xml:space="preserve"> </w:t>
      </w:r>
      <w:r w:rsidR="00025B15">
        <w:rPr>
          <w:rFonts w:ascii="Tahoma" w:eastAsia="Tahoma" w:hAnsi="Tahoma" w:cs="Tahoma"/>
          <w:color w:val="808080"/>
          <w:sz w:val="18"/>
          <w:szCs w:val="18"/>
        </w:rPr>
        <w:t xml:space="preserve"> </w:t>
      </w:r>
      <w:r w:rsidR="001B318B">
        <w:rPr>
          <w:rFonts w:ascii="Tahoma" w:eastAsia="Tahoma" w:hAnsi="Tahoma" w:cs="Tahoma"/>
          <w:color w:val="808080"/>
          <w:sz w:val="18"/>
          <w:szCs w:val="18"/>
        </w:rPr>
        <w:t xml:space="preserve">Wsparliśmy lokalnie ponad 50 stowarzyszeń i fundacji prowadzących działalność pomocową i edukacyjną w sąsiedztwie naszych budów. </w:t>
      </w:r>
    </w:p>
    <w:p w14:paraId="66220564" w14:textId="77777777" w:rsidR="00AF0EC9" w:rsidRDefault="00AF0EC9" w:rsidP="00AF0EC9">
      <w:pPr>
        <w:spacing w:line="360" w:lineRule="auto"/>
        <w:ind w:right="2552"/>
        <w:jc w:val="both"/>
        <w:rPr>
          <w:rFonts w:ascii="Tahoma" w:eastAsia="Tahoma" w:hAnsi="Tahoma" w:cs="Tahoma"/>
          <w:color w:val="808080"/>
          <w:sz w:val="18"/>
          <w:szCs w:val="18"/>
        </w:rPr>
      </w:pPr>
      <w:r>
        <w:rPr>
          <w:rFonts w:ascii="Tahoma" w:eastAsia="Tahoma" w:hAnsi="Tahoma" w:cs="Tahoma"/>
          <w:color w:val="808080"/>
          <w:sz w:val="18"/>
          <w:szCs w:val="18"/>
        </w:rPr>
        <w:t>Realizacje Budimeksu</w:t>
      </w:r>
      <w:r w:rsidRPr="006A0319">
        <w:rPr>
          <w:rFonts w:ascii="Tahoma" w:eastAsia="Tahoma" w:hAnsi="Tahoma" w:cs="Tahoma"/>
          <w:color w:val="808080"/>
          <w:sz w:val="18"/>
          <w:szCs w:val="18"/>
        </w:rPr>
        <w:t xml:space="preserve"> zdobyły prestiżowe nagrody. Modernizacja Planetarium w Chorzowie otrzymała tytuł Modernizacji Roku 2023 w 27. edycji konkursu Modernizacja Roku – Budowa XXI wieku. Kontrakt realizowany przez Budimex w latach 2019 – 2022 został oceniony najwyżej przez jury w kategorii obiektów użyteczności publicznej. Do konkursu zgłoszonych zostało ponad 500 inwestycji. Nagrodzono tylko 20 najlepszych z nich. Budimex wraca z 2 nagrodami z tegorocznej edycji konkursu „Budowa Roku”, organizowanego przez Polski Związek Inżynierów i Techników Budownictwa. ‎Nagrodzone Oskarami Budowlanymi inwestycje to budowa Trasy Łagiewnickiej w  Krakowie oraz modernizacja Instytutu Techniki Cieplnej Politechniki Warszawskiej.</w:t>
      </w:r>
      <w:r>
        <w:rPr>
          <w:rFonts w:ascii="Tahoma" w:eastAsia="Tahoma" w:hAnsi="Tahoma" w:cs="Tahoma"/>
          <w:color w:val="808080"/>
          <w:sz w:val="18"/>
          <w:szCs w:val="18"/>
        </w:rPr>
        <w:t xml:space="preserve"> </w:t>
      </w:r>
      <w:r w:rsidRPr="00232C8A">
        <w:rPr>
          <w:rFonts w:ascii="Tahoma" w:eastAsia="Tahoma" w:hAnsi="Tahoma" w:cs="Tahoma"/>
          <w:color w:val="808080"/>
          <w:sz w:val="18"/>
          <w:szCs w:val="18"/>
        </w:rPr>
        <w:t>Budimex znalazł się w pierwszej ‎dziesiątce firm budowlanych na świecie w rankingu Financial Times - ‎</w:t>
      </w:r>
      <w:proofErr w:type="spellStart"/>
      <w:r w:rsidRPr="00232C8A">
        <w:rPr>
          <w:rFonts w:ascii="Tahoma" w:eastAsia="Tahoma" w:hAnsi="Tahoma" w:cs="Tahoma"/>
          <w:color w:val="808080"/>
          <w:sz w:val="18"/>
          <w:szCs w:val="18"/>
        </w:rPr>
        <w:t>Diversity</w:t>
      </w:r>
      <w:proofErr w:type="spellEnd"/>
      <w:r w:rsidRPr="00232C8A">
        <w:rPr>
          <w:rFonts w:ascii="Tahoma" w:eastAsia="Tahoma" w:hAnsi="Tahoma" w:cs="Tahoma"/>
          <w:color w:val="808080"/>
          <w:sz w:val="18"/>
          <w:szCs w:val="18"/>
        </w:rPr>
        <w:t xml:space="preserve"> </w:t>
      </w:r>
      <w:proofErr w:type="spellStart"/>
      <w:r w:rsidRPr="00232C8A">
        <w:rPr>
          <w:rFonts w:ascii="Tahoma" w:eastAsia="Tahoma" w:hAnsi="Tahoma" w:cs="Tahoma"/>
          <w:color w:val="808080"/>
          <w:sz w:val="18"/>
          <w:szCs w:val="18"/>
        </w:rPr>
        <w:t>Leaders</w:t>
      </w:r>
      <w:proofErr w:type="spellEnd"/>
      <w:r w:rsidRPr="00232C8A">
        <w:rPr>
          <w:rFonts w:ascii="Tahoma" w:eastAsia="Tahoma" w:hAnsi="Tahoma" w:cs="Tahoma"/>
          <w:color w:val="808080"/>
          <w:sz w:val="18"/>
          <w:szCs w:val="18"/>
        </w:rPr>
        <w:t xml:space="preserve"> 2024. Polska spółka zdobyła 71,6 na 100 możliwych ‎punktów i wyprzedziła wielu czołowych graczy rynku międzynarodowego. ‎Wyróżnienie to efekt prowadzenia konsekwentnej polityki wspierania ‎różnorodności oraz systematycznego wspierania rozwoju zawodowego ‎kobiet.‎</w:t>
      </w:r>
    </w:p>
    <w:p w14:paraId="4590FC0B" w14:textId="77777777" w:rsidR="00AF0EC9" w:rsidRDefault="00AF0EC9" w:rsidP="00AF0EC9">
      <w:pPr>
        <w:spacing w:line="360" w:lineRule="auto"/>
        <w:ind w:right="2552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AF0EC9" w:rsidSect="00AF0E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76F3" w14:textId="77777777" w:rsidR="004F295D" w:rsidRDefault="004F295D">
      <w:pPr>
        <w:spacing w:after="0" w:line="240" w:lineRule="auto"/>
      </w:pPr>
      <w:r>
        <w:separator/>
      </w:r>
    </w:p>
  </w:endnote>
  <w:endnote w:type="continuationSeparator" w:id="0">
    <w:p w14:paraId="3F2BCFDF" w14:textId="77777777" w:rsidR="004F295D" w:rsidRDefault="004F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E316" w14:textId="77777777" w:rsidR="004F295D" w:rsidRDefault="004F295D">
      <w:pPr>
        <w:spacing w:after="0" w:line="240" w:lineRule="auto"/>
      </w:pPr>
      <w:r>
        <w:separator/>
      </w:r>
    </w:p>
  </w:footnote>
  <w:footnote w:type="continuationSeparator" w:id="0">
    <w:p w14:paraId="606625A1" w14:textId="77777777" w:rsidR="004F295D" w:rsidRDefault="004F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210799633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235F9D"/>
    <w:multiLevelType w:val="hybridMultilevel"/>
    <w:tmpl w:val="8EA4C3A2"/>
    <w:lvl w:ilvl="0" w:tplc="A000C0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C9C99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657CA9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692D4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1127E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C1C82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7066A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16E34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35806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2ABB07B9"/>
    <w:multiLevelType w:val="hybridMultilevel"/>
    <w:tmpl w:val="FFAAB1F4"/>
    <w:lvl w:ilvl="0" w:tplc="4C107D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2B8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145467660">
    <w:abstractNumId w:val="0"/>
  </w:num>
  <w:num w:numId="2" w16cid:durableId="1547525273">
    <w:abstractNumId w:val="6"/>
  </w:num>
  <w:num w:numId="3" w16cid:durableId="1196965386">
    <w:abstractNumId w:val="3"/>
  </w:num>
  <w:num w:numId="4" w16cid:durableId="1619530281">
    <w:abstractNumId w:val="4"/>
  </w:num>
  <w:num w:numId="5" w16cid:durableId="110520937">
    <w:abstractNumId w:val="5"/>
  </w:num>
  <w:num w:numId="6" w16cid:durableId="1049841346">
    <w:abstractNumId w:val="2"/>
  </w:num>
  <w:num w:numId="7" w16cid:durableId="56009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2NDQ1MDOysLA0MzRT0lEKTi0uzszPAykwrAUAP32WMywAAAA="/>
  </w:docVars>
  <w:rsids>
    <w:rsidRoot w:val="00D824D3"/>
    <w:rsid w:val="00000972"/>
    <w:rsid w:val="0000116D"/>
    <w:rsid w:val="00002FA2"/>
    <w:rsid w:val="00005901"/>
    <w:rsid w:val="0001222E"/>
    <w:rsid w:val="000150C1"/>
    <w:rsid w:val="0001727E"/>
    <w:rsid w:val="00025B15"/>
    <w:rsid w:val="00027A52"/>
    <w:rsid w:val="00031C8A"/>
    <w:rsid w:val="000320CA"/>
    <w:rsid w:val="00032F3D"/>
    <w:rsid w:val="00033E4A"/>
    <w:rsid w:val="00033EEE"/>
    <w:rsid w:val="0003473D"/>
    <w:rsid w:val="0003691C"/>
    <w:rsid w:val="00044B01"/>
    <w:rsid w:val="000471E4"/>
    <w:rsid w:val="000535E9"/>
    <w:rsid w:val="00053E58"/>
    <w:rsid w:val="0005619E"/>
    <w:rsid w:val="000602EE"/>
    <w:rsid w:val="0006084D"/>
    <w:rsid w:val="00061B68"/>
    <w:rsid w:val="00061F85"/>
    <w:rsid w:val="0006314F"/>
    <w:rsid w:val="000644F6"/>
    <w:rsid w:val="000653AD"/>
    <w:rsid w:val="00077D5C"/>
    <w:rsid w:val="00080EA6"/>
    <w:rsid w:val="00081F90"/>
    <w:rsid w:val="00083EB2"/>
    <w:rsid w:val="0008411D"/>
    <w:rsid w:val="00084D2C"/>
    <w:rsid w:val="00084DAA"/>
    <w:rsid w:val="000908AD"/>
    <w:rsid w:val="0009261F"/>
    <w:rsid w:val="000935B7"/>
    <w:rsid w:val="00093C5B"/>
    <w:rsid w:val="00094318"/>
    <w:rsid w:val="00096E60"/>
    <w:rsid w:val="000A0D19"/>
    <w:rsid w:val="000A29DB"/>
    <w:rsid w:val="000A4C94"/>
    <w:rsid w:val="000B0FF0"/>
    <w:rsid w:val="000B2C44"/>
    <w:rsid w:val="000B38FA"/>
    <w:rsid w:val="000B4EAD"/>
    <w:rsid w:val="000B570C"/>
    <w:rsid w:val="000B7985"/>
    <w:rsid w:val="000C0857"/>
    <w:rsid w:val="000C4215"/>
    <w:rsid w:val="000C5A43"/>
    <w:rsid w:val="000C60FB"/>
    <w:rsid w:val="000D29F3"/>
    <w:rsid w:val="000D4CA2"/>
    <w:rsid w:val="000D51F1"/>
    <w:rsid w:val="000D6166"/>
    <w:rsid w:val="000E4D10"/>
    <w:rsid w:val="000E5514"/>
    <w:rsid w:val="000F478F"/>
    <w:rsid w:val="000F734A"/>
    <w:rsid w:val="000F7CDD"/>
    <w:rsid w:val="00102CF5"/>
    <w:rsid w:val="00103FBA"/>
    <w:rsid w:val="00106347"/>
    <w:rsid w:val="00111CE9"/>
    <w:rsid w:val="0011328D"/>
    <w:rsid w:val="0011438D"/>
    <w:rsid w:val="001168A4"/>
    <w:rsid w:val="00120F42"/>
    <w:rsid w:val="00121797"/>
    <w:rsid w:val="00125739"/>
    <w:rsid w:val="0012600E"/>
    <w:rsid w:val="00131EA2"/>
    <w:rsid w:val="00135A1E"/>
    <w:rsid w:val="001378BE"/>
    <w:rsid w:val="001415FC"/>
    <w:rsid w:val="00145D8E"/>
    <w:rsid w:val="00146C8B"/>
    <w:rsid w:val="00147473"/>
    <w:rsid w:val="0015239C"/>
    <w:rsid w:val="00152702"/>
    <w:rsid w:val="00154AF9"/>
    <w:rsid w:val="00164288"/>
    <w:rsid w:val="001652FF"/>
    <w:rsid w:val="0016660D"/>
    <w:rsid w:val="00166669"/>
    <w:rsid w:val="00171E71"/>
    <w:rsid w:val="00176796"/>
    <w:rsid w:val="00176B23"/>
    <w:rsid w:val="00177F03"/>
    <w:rsid w:val="00180426"/>
    <w:rsid w:val="00180DCA"/>
    <w:rsid w:val="00183716"/>
    <w:rsid w:val="00184033"/>
    <w:rsid w:val="00184B5B"/>
    <w:rsid w:val="00185CBD"/>
    <w:rsid w:val="0019013E"/>
    <w:rsid w:val="001906A3"/>
    <w:rsid w:val="00191813"/>
    <w:rsid w:val="00192F14"/>
    <w:rsid w:val="00193800"/>
    <w:rsid w:val="0019472A"/>
    <w:rsid w:val="00196E4D"/>
    <w:rsid w:val="001A02F1"/>
    <w:rsid w:val="001A13BD"/>
    <w:rsid w:val="001A4444"/>
    <w:rsid w:val="001A4687"/>
    <w:rsid w:val="001A5E03"/>
    <w:rsid w:val="001A7665"/>
    <w:rsid w:val="001B18F8"/>
    <w:rsid w:val="001B318B"/>
    <w:rsid w:val="001B3A88"/>
    <w:rsid w:val="001B53AC"/>
    <w:rsid w:val="001C04E7"/>
    <w:rsid w:val="001C05E8"/>
    <w:rsid w:val="001C1C48"/>
    <w:rsid w:val="001C6BED"/>
    <w:rsid w:val="001C759E"/>
    <w:rsid w:val="001C78CD"/>
    <w:rsid w:val="001D1508"/>
    <w:rsid w:val="001D3BBF"/>
    <w:rsid w:val="001D4924"/>
    <w:rsid w:val="001D6D47"/>
    <w:rsid w:val="001E2FCE"/>
    <w:rsid w:val="001E3718"/>
    <w:rsid w:val="001E5D2F"/>
    <w:rsid w:val="001E5F16"/>
    <w:rsid w:val="001E6465"/>
    <w:rsid w:val="001E655D"/>
    <w:rsid w:val="001E6E9D"/>
    <w:rsid w:val="001E7216"/>
    <w:rsid w:val="001F3AC1"/>
    <w:rsid w:val="001F3B78"/>
    <w:rsid w:val="001F4890"/>
    <w:rsid w:val="001F540C"/>
    <w:rsid w:val="001F6968"/>
    <w:rsid w:val="00200282"/>
    <w:rsid w:val="00205C0B"/>
    <w:rsid w:val="00207D56"/>
    <w:rsid w:val="00210B3A"/>
    <w:rsid w:val="00210B70"/>
    <w:rsid w:val="0021267C"/>
    <w:rsid w:val="00212FA6"/>
    <w:rsid w:val="00214B6B"/>
    <w:rsid w:val="0022070B"/>
    <w:rsid w:val="00220B1D"/>
    <w:rsid w:val="00224B03"/>
    <w:rsid w:val="00224D91"/>
    <w:rsid w:val="00232C8A"/>
    <w:rsid w:val="002332A6"/>
    <w:rsid w:val="00234145"/>
    <w:rsid w:val="00235BCA"/>
    <w:rsid w:val="0023777F"/>
    <w:rsid w:val="00241059"/>
    <w:rsid w:val="002431E6"/>
    <w:rsid w:val="0024368F"/>
    <w:rsid w:val="00244B52"/>
    <w:rsid w:val="002451CA"/>
    <w:rsid w:val="00246369"/>
    <w:rsid w:val="00247108"/>
    <w:rsid w:val="0025047C"/>
    <w:rsid w:val="00255A62"/>
    <w:rsid w:val="002560E2"/>
    <w:rsid w:val="002572B2"/>
    <w:rsid w:val="0026041E"/>
    <w:rsid w:val="002606E5"/>
    <w:rsid w:val="0026199D"/>
    <w:rsid w:val="002666B2"/>
    <w:rsid w:val="00267E0B"/>
    <w:rsid w:val="00270259"/>
    <w:rsid w:val="002705D2"/>
    <w:rsid w:val="00271E13"/>
    <w:rsid w:val="002756E4"/>
    <w:rsid w:val="002759CA"/>
    <w:rsid w:val="00276417"/>
    <w:rsid w:val="00277101"/>
    <w:rsid w:val="002773EE"/>
    <w:rsid w:val="002831E6"/>
    <w:rsid w:val="00286464"/>
    <w:rsid w:val="00287756"/>
    <w:rsid w:val="00291889"/>
    <w:rsid w:val="002925D8"/>
    <w:rsid w:val="0029747F"/>
    <w:rsid w:val="002977A5"/>
    <w:rsid w:val="002A381C"/>
    <w:rsid w:val="002A5397"/>
    <w:rsid w:val="002A572C"/>
    <w:rsid w:val="002A6649"/>
    <w:rsid w:val="002A6AC8"/>
    <w:rsid w:val="002A6E36"/>
    <w:rsid w:val="002B24AA"/>
    <w:rsid w:val="002B2FB1"/>
    <w:rsid w:val="002B47CE"/>
    <w:rsid w:val="002B4A1E"/>
    <w:rsid w:val="002B6F72"/>
    <w:rsid w:val="002C0A13"/>
    <w:rsid w:val="002C4D36"/>
    <w:rsid w:val="002C6B44"/>
    <w:rsid w:val="002C71F2"/>
    <w:rsid w:val="002C72FF"/>
    <w:rsid w:val="002D0A73"/>
    <w:rsid w:val="002D0D72"/>
    <w:rsid w:val="002D3F9A"/>
    <w:rsid w:val="002D52EE"/>
    <w:rsid w:val="002E2815"/>
    <w:rsid w:val="002E348B"/>
    <w:rsid w:val="002E4678"/>
    <w:rsid w:val="002E4732"/>
    <w:rsid w:val="002F2A15"/>
    <w:rsid w:val="002F35F7"/>
    <w:rsid w:val="003023A0"/>
    <w:rsid w:val="0030310D"/>
    <w:rsid w:val="00310980"/>
    <w:rsid w:val="00312C4B"/>
    <w:rsid w:val="00314819"/>
    <w:rsid w:val="003148D1"/>
    <w:rsid w:val="0031612E"/>
    <w:rsid w:val="00322BDB"/>
    <w:rsid w:val="00323D83"/>
    <w:rsid w:val="003242A3"/>
    <w:rsid w:val="00330315"/>
    <w:rsid w:val="00330932"/>
    <w:rsid w:val="003355E9"/>
    <w:rsid w:val="00335E0E"/>
    <w:rsid w:val="003371B4"/>
    <w:rsid w:val="00337C34"/>
    <w:rsid w:val="00337F4C"/>
    <w:rsid w:val="003413EC"/>
    <w:rsid w:val="00342FCE"/>
    <w:rsid w:val="00343F41"/>
    <w:rsid w:val="00352719"/>
    <w:rsid w:val="003542F5"/>
    <w:rsid w:val="00356480"/>
    <w:rsid w:val="00357B9B"/>
    <w:rsid w:val="00360B0E"/>
    <w:rsid w:val="003615FB"/>
    <w:rsid w:val="003711C0"/>
    <w:rsid w:val="003734D3"/>
    <w:rsid w:val="00374264"/>
    <w:rsid w:val="00375A37"/>
    <w:rsid w:val="00377098"/>
    <w:rsid w:val="00380BE2"/>
    <w:rsid w:val="00382683"/>
    <w:rsid w:val="0038295F"/>
    <w:rsid w:val="00383BB6"/>
    <w:rsid w:val="00384766"/>
    <w:rsid w:val="0038504E"/>
    <w:rsid w:val="003858D5"/>
    <w:rsid w:val="00392AC2"/>
    <w:rsid w:val="00394C94"/>
    <w:rsid w:val="003A0B81"/>
    <w:rsid w:val="003A320C"/>
    <w:rsid w:val="003A74B7"/>
    <w:rsid w:val="003B17EA"/>
    <w:rsid w:val="003B19D7"/>
    <w:rsid w:val="003B2692"/>
    <w:rsid w:val="003B3277"/>
    <w:rsid w:val="003B7F94"/>
    <w:rsid w:val="003C0EF3"/>
    <w:rsid w:val="003C1C0C"/>
    <w:rsid w:val="003C2CDF"/>
    <w:rsid w:val="003C6385"/>
    <w:rsid w:val="003C69DD"/>
    <w:rsid w:val="003C6FEF"/>
    <w:rsid w:val="003D46A5"/>
    <w:rsid w:val="003D4B50"/>
    <w:rsid w:val="003D66BD"/>
    <w:rsid w:val="003E1C5E"/>
    <w:rsid w:val="003E4795"/>
    <w:rsid w:val="003E5175"/>
    <w:rsid w:val="003F0366"/>
    <w:rsid w:val="003F1D1E"/>
    <w:rsid w:val="003F301D"/>
    <w:rsid w:val="003F479C"/>
    <w:rsid w:val="003F7F86"/>
    <w:rsid w:val="00400E28"/>
    <w:rsid w:val="00406D9D"/>
    <w:rsid w:val="004077DC"/>
    <w:rsid w:val="004151F3"/>
    <w:rsid w:val="00417A3F"/>
    <w:rsid w:val="0042081D"/>
    <w:rsid w:val="0042119F"/>
    <w:rsid w:val="004226D7"/>
    <w:rsid w:val="00423508"/>
    <w:rsid w:val="00424ADA"/>
    <w:rsid w:val="00426430"/>
    <w:rsid w:val="004264BF"/>
    <w:rsid w:val="00433509"/>
    <w:rsid w:val="00434999"/>
    <w:rsid w:val="0044439A"/>
    <w:rsid w:val="00445FCD"/>
    <w:rsid w:val="00447762"/>
    <w:rsid w:val="00450B7A"/>
    <w:rsid w:val="004510B2"/>
    <w:rsid w:val="00452E75"/>
    <w:rsid w:val="00453309"/>
    <w:rsid w:val="00456535"/>
    <w:rsid w:val="00456A67"/>
    <w:rsid w:val="004572A8"/>
    <w:rsid w:val="004609BE"/>
    <w:rsid w:val="0046106B"/>
    <w:rsid w:val="00463013"/>
    <w:rsid w:val="00463ABF"/>
    <w:rsid w:val="00463DBB"/>
    <w:rsid w:val="00464544"/>
    <w:rsid w:val="00467362"/>
    <w:rsid w:val="00467924"/>
    <w:rsid w:val="00471B82"/>
    <w:rsid w:val="00475BFB"/>
    <w:rsid w:val="004763AA"/>
    <w:rsid w:val="00486407"/>
    <w:rsid w:val="00493212"/>
    <w:rsid w:val="00497761"/>
    <w:rsid w:val="004A002F"/>
    <w:rsid w:val="004A25A7"/>
    <w:rsid w:val="004A417F"/>
    <w:rsid w:val="004A4455"/>
    <w:rsid w:val="004A571D"/>
    <w:rsid w:val="004A57C9"/>
    <w:rsid w:val="004B19B6"/>
    <w:rsid w:val="004B4F60"/>
    <w:rsid w:val="004C06D4"/>
    <w:rsid w:val="004C1457"/>
    <w:rsid w:val="004C1B05"/>
    <w:rsid w:val="004C2725"/>
    <w:rsid w:val="004D0CC7"/>
    <w:rsid w:val="004D1903"/>
    <w:rsid w:val="004D5354"/>
    <w:rsid w:val="004D578B"/>
    <w:rsid w:val="004D57DB"/>
    <w:rsid w:val="004D5A7C"/>
    <w:rsid w:val="004D6574"/>
    <w:rsid w:val="004D7BB2"/>
    <w:rsid w:val="004E039F"/>
    <w:rsid w:val="004E053D"/>
    <w:rsid w:val="004E2005"/>
    <w:rsid w:val="004E25E2"/>
    <w:rsid w:val="004E3670"/>
    <w:rsid w:val="004E381F"/>
    <w:rsid w:val="004E3BF3"/>
    <w:rsid w:val="004E4375"/>
    <w:rsid w:val="004E514D"/>
    <w:rsid w:val="004E664B"/>
    <w:rsid w:val="004E6EA9"/>
    <w:rsid w:val="004E7219"/>
    <w:rsid w:val="004E7872"/>
    <w:rsid w:val="004F295D"/>
    <w:rsid w:val="004F35B2"/>
    <w:rsid w:val="004F5F2B"/>
    <w:rsid w:val="004F656D"/>
    <w:rsid w:val="004F76E3"/>
    <w:rsid w:val="0050050B"/>
    <w:rsid w:val="0050128F"/>
    <w:rsid w:val="005030B7"/>
    <w:rsid w:val="005106E9"/>
    <w:rsid w:val="00511640"/>
    <w:rsid w:val="00513957"/>
    <w:rsid w:val="005170F0"/>
    <w:rsid w:val="00517459"/>
    <w:rsid w:val="00522577"/>
    <w:rsid w:val="00522CB9"/>
    <w:rsid w:val="00523279"/>
    <w:rsid w:val="0052392A"/>
    <w:rsid w:val="00523965"/>
    <w:rsid w:val="00523C63"/>
    <w:rsid w:val="005279D7"/>
    <w:rsid w:val="0053162C"/>
    <w:rsid w:val="005319A4"/>
    <w:rsid w:val="0053398D"/>
    <w:rsid w:val="00533CB6"/>
    <w:rsid w:val="0053503C"/>
    <w:rsid w:val="005403F2"/>
    <w:rsid w:val="00543269"/>
    <w:rsid w:val="00544A7C"/>
    <w:rsid w:val="0055003D"/>
    <w:rsid w:val="00551364"/>
    <w:rsid w:val="005525D3"/>
    <w:rsid w:val="00552AF7"/>
    <w:rsid w:val="00553801"/>
    <w:rsid w:val="005539C6"/>
    <w:rsid w:val="00553A39"/>
    <w:rsid w:val="00553D50"/>
    <w:rsid w:val="00556C60"/>
    <w:rsid w:val="0056066B"/>
    <w:rsid w:val="005623F5"/>
    <w:rsid w:val="00562455"/>
    <w:rsid w:val="0056314F"/>
    <w:rsid w:val="00563A0B"/>
    <w:rsid w:val="005717E9"/>
    <w:rsid w:val="00574EC5"/>
    <w:rsid w:val="00577B5C"/>
    <w:rsid w:val="0058424C"/>
    <w:rsid w:val="00584EAB"/>
    <w:rsid w:val="005863A7"/>
    <w:rsid w:val="00593858"/>
    <w:rsid w:val="0059770F"/>
    <w:rsid w:val="00597B7F"/>
    <w:rsid w:val="005A5043"/>
    <w:rsid w:val="005B039B"/>
    <w:rsid w:val="005B155B"/>
    <w:rsid w:val="005B248C"/>
    <w:rsid w:val="005B3CF6"/>
    <w:rsid w:val="005B4DB0"/>
    <w:rsid w:val="005B5026"/>
    <w:rsid w:val="005C07AB"/>
    <w:rsid w:val="005C58F7"/>
    <w:rsid w:val="005C7276"/>
    <w:rsid w:val="005D0189"/>
    <w:rsid w:val="005D20DD"/>
    <w:rsid w:val="005D25D3"/>
    <w:rsid w:val="005D7C59"/>
    <w:rsid w:val="005E0107"/>
    <w:rsid w:val="005E090C"/>
    <w:rsid w:val="005E2831"/>
    <w:rsid w:val="005E4881"/>
    <w:rsid w:val="005E6ABC"/>
    <w:rsid w:val="005F1CF1"/>
    <w:rsid w:val="005F3B41"/>
    <w:rsid w:val="005F4BD2"/>
    <w:rsid w:val="005F65B4"/>
    <w:rsid w:val="005F6802"/>
    <w:rsid w:val="005F6D3C"/>
    <w:rsid w:val="005F75ED"/>
    <w:rsid w:val="005F7CFF"/>
    <w:rsid w:val="006073ED"/>
    <w:rsid w:val="00607CC8"/>
    <w:rsid w:val="00610F49"/>
    <w:rsid w:val="00611BD0"/>
    <w:rsid w:val="006137A4"/>
    <w:rsid w:val="0061486F"/>
    <w:rsid w:val="00615980"/>
    <w:rsid w:val="006217C8"/>
    <w:rsid w:val="006221EC"/>
    <w:rsid w:val="00622393"/>
    <w:rsid w:val="00624E80"/>
    <w:rsid w:val="006273F5"/>
    <w:rsid w:val="006335D0"/>
    <w:rsid w:val="00634818"/>
    <w:rsid w:val="00634ACE"/>
    <w:rsid w:val="0063575A"/>
    <w:rsid w:val="00636727"/>
    <w:rsid w:val="00636F6F"/>
    <w:rsid w:val="00641D3B"/>
    <w:rsid w:val="0064310D"/>
    <w:rsid w:val="006449AE"/>
    <w:rsid w:val="00650F76"/>
    <w:rsid w:val="006511B1"/>
    <w:rsid w:val="006514B7"/>
    <w:rsid w:val="00651C48"/>
    <w:rsid w:val="00651C6F"/>
    <w:rsid w:val="00652414"/>
    <w:rsid w:val="00653204"/>
    <w:rsid w:val="00654549"/>
    <w:rsid w:val="00655A99"/>
    <w:rsid w:val="00660924"/>
    <w:rsid w:val="00660A27"/>
    <w:rsid w:val="00661489"/>
    <w:rsid w:val="00661E49"/>
    <w:rsid w:val="00662B0E"/>
    <w:rsid w:val="00663C56"/>
    <w:rsid w:val="00664FA5"/>
    <w:rsid w:val="00665EE0"/>
    <w:rsid w:val="006670FF"/>
    <w:rsid w:val="00675000"/>
    <w:rsid w:val="0067655C"/>
    <w:rsid w:val="00684AEF"/>
    <w:rsid w:val="00685FB2"/>
    <w:rsid w:val="006908D3"/>
    <w:rsid w:val="00691304"/>
    <w:rsid w:val="006913B6"/>
    <w:rsid w:val="00693096"/>
    <w:rsid w:val="0069312F"/>
    <w:rsid w:val="00693AAB"/>
    <w:rsid w:val="006943AF"/>
    <w:rsid w:val="0069685B"/>
    <w:rsid w:val="006A0319"/>
    <w:rsid w:val="006A1C56"/>
    <w:rsid w:val="006A293C"/>
    <w:rsid w:val="006A7081"/>
    <w:rsid w:val="006B02FE"/>
    <w:rsid w:val="006B12A4"/>
    <w:rsid w:val="006B342C"/>
    <w:rsid w:val="006B4024"/>
    <w:rsid w:val="006B4545"/>
    <w:rsid w:val="006B4A0C"/>
    <w:rsid w:val="006B4EE8"/>
    <w:rsid w:val="006B683D"/>
    <w:rsid w:val="006B7429"/>
    <w:rsid w:val="006C0560"/>
    <w:rsid w:val="006C26EC"/>
    <w:rsid w:val="006C7212"/>
    <w:rsid w:val="006D060D"/>
    <w:rsid w:val="006D1428"/>
    <w:rsid w:val="006D5288"/>
    <w:rsid w:val="006D546B"/>
    <w:rsid w:val="006D640A"/>
    <w:rsid w:val="006D721C"/>
    <w:rsid w:val="006E072B"/>
    <w:rsid w:val="006E130B"/>
    <w:rsid w:val="006E238E"/>
    <w:rsid w:val="006E566D"/>
    <w:rsid w:val="006E5944"/>
    <w:rsid w:val="006E61C6"/>
    <w:rsid w:val="006E716B"/>
    <w:rsid w:val="006F30C5"/>
    <w:rsid w:val="006F3FA9"/>
    <w:rsid w:val="007012C0"/>
    <w:rsid w:val="00702E01"/>
    <w:rsid w:val="00703F19"/>
    <w:rsid w:val="00704F7D"/>
    <w:rsid w:val="00705048"/>
    <w:rsid w:val="007065F1"/>
    <w:rsid w:val="007076C4"/>
    <w:rsid w:val="00707906"/>
    <w:rsid w:val="0071028C"/>
    <w:rsid w:val="00710618"/>
    <w:rsid w:val="00710E33"/>
    <w:rsid w:val="00712B2C"/>
    <w:rsid w:val="007143D6"/>
    <w:rsid w:val="00715551"/>
    <w:rsid w:val="007157E1"/>
    <w:rsid w:val="00717052"/>
    <w:rsid w:val="0071725F"/>
    <w:rsid w:val="007172F7"/>
    <w:rsid w:val="00717A8C"/>
    <w:rsid w:val="00725A96"/>
    <w:rsid w:val="00726BDF"/>
    <w:rsid w:val="00734DF8"/>
    <w:rsid w:val="007426FD"/>
    <w:rsid w:val="007429FA"/>
    <w:rsid w:val="00745755"/>
    <w:rsid w:val="00747599"/>
    <w:rsid w:val="00756852"/>
    <w:rsid w:val="007615A5"/>
    <w:rsid w:val="00762BB9"/>
    <w:rsid w:val="00763536"/>
    <w:rsid w:val="007659C0"/>
    <w:rsid w:val="0076767E"/>
    <w:rsid w:val="00770099"/>
    <w:rsid w:val="00770BC3"/>
    <w:rsid w:val="007724D1"/>
    <w:rsid w:val="00775CAB"/>
    <w:rsid w:val="007760E7"/>
    <w:rsid w:val="0077747E"/>
    <w:rsid w:val="00777A92"/>
    <w:rsid w:val="007843E3"/>
    <w:rsid w:val="00794031"/>
    <w:rsid w:val="007A6067"/>
    <w:rsid w:val="007B060D"/>
    <w:rsid w:val="007B4EE7"/>
    <w:rsid w:val="007C0D80"/>
    <w:rsid w:val="007C3807"/>
    <w:rsid w:val="007C69AF"/>
    <w:rsid w:val="007C6D66"/>
    <w:rsid w:val="007C79AA"/>
    <w:rsid w:val="007D043C"/>
    <w:rsid w:val="007D0F2F"/>
    <w:rsid w:val="007D1D38"/>
    <w:rsid w:val="007D2158"/>
    <w:rsid w:val="007D3A36"/>
    <w:rsid w:val="007D42C6"/>
    <w:rsid w:val="007D5978"/>
    <w:rsid w:val="007D6975"/>
    <w:rsid w:val="007D7046"/>
    <w:rsid w:val="007D790E"/>
    <w:rsid w:val="007D7917"/>
    <w:rsid w:val="007E19BC"/>
    <w:rsid w:val="007E21D6"/>
    <w:rsid w:val="007F0AAC"/>
    <w:rsid w:val="007F4369"/>
    <w:rsid w:val="007F54CB"/>
    <w:rsid w:val="007F775D"/>
    <w:rsid w:val="00803A9E"/>
    <w:rsid w:val="00804DC5"/>
    <w:rsid w:val="00806358"/>
    <w:rsid w:val="00806625"/>
    <w:rsid w:val="008071F7"/>
    <w:rsid w:val="0080729F"/>
    <w:rsid w:val="00807471"/>
    <w:rsid w:val="00807C4C"/>
    <w:rsid w:val="00810CB0"/>
    <w:rsid w:val="00811901"/>
    <w:rsid w:val="00815619"/>
    <w:rsid w:val="00815E45"/>
    <w:rsid w:val="008166BC"/>
    <w:rsid w:val="00817323"/>
    <w:rsid w:val="008230DA"/>
    <w:rsid w:val="00824271"/>
    <w:rsid w:val="00825812"/>
    <w:rsid w:val="00825FA7"/>
    <w:rsid w:val="008300BE"/>
    <w:rsid w:val="008373EA"/>
    <w:rsid w:val="00840917"/>
    <w:rsid w:val="00841029"/>
    <w:rsid w:val="00842EA5"/>
    <w:rsid w:val="00850178"/>
    <w:rsid w:val="00850757"/>
    <w:rsid w:val="008507A5"/>
    <w:rsid w:val="0085210D"/>
    <w:rsid w:val="00853843"/>
    <w:rsid w:val="00854FCC"/>
    <w:rsid w:val="00857523"/>
    <w:rsid w:val="0086463D"/>
    <w:rsid w:val="00864650"/>
    <w:rsid w:val="00867B13"/>
    <w:rsid w:val="00871CAB"/>
    <w:rsid w:val="00875D93"/>
    <w:rsid w:val="0088164D"/>
    <w:rsid w:val="00887135"/>
    <w:rsid w:val="00890BCD"/>
    <w:rsid w:val="00893D6E"/>
    <w:rsid w:val="00895F6D"/>
    <w:rsid w:val="008A0044"/>
    <w:rsid w:val="008A1549"/>
    <w:rsid w:val="008A32BF"/>
    <w:rsid w:val="008A6A8C"/>
    <w:rsid w:val="008B17C9"/>
    <w:rsid w:val="008B19CA"/>
    <w:rsid w:val="008B1D6D"/>
    <w:rsid w:val="008B4670"/>
    <w:rsid w:val="008B5B79"/>
    <w:rsid w:val="008C2D2B"/>
    <w:rsid w:val="008C3396"/>
    <w:rsid w:val="008C3407"/>
    <w:rsid w:val="008C6503"/>
    <w:rsid w:val="008D3344"/>
    <w:rsid w:val="008D3B53"/>
    <w:rsid w:val="008D3DEC"/>
    <w:rsid w:val="008D6295"/>
    <w:rsid w:val="008E179B"/>
    <w:rsid w:val="008E49DC"/>
    <w:rsid w:val="008E5974"/>
    <w:rsid w:val="008E6AC7"/>
    <w:rsid w:val="008F0F82"/>
    <w:rsid w:val="008F47AB"/>
    <w:rsid w:val="008F662C"/>
    <w:rsid w:val="009004D4"/>
    <w:rsid w:val="00903035"/>
    <w:rsid w:val="0090320E"/>
    <w:rsid w:val="00904BD3"/>
    <w:rsid w:val="009060CB"/>
    <w:rsid w:val="00912059"/>
    <w:rsid w:val="009146E7"/>
    <w:rsid w:val="00916A8F"/>
    <w:rsid w:val="00917D66"/>
    <w:rsid w:val="00917E35"/>
    <w:rsid w:val="00917F22"/>
    <w:rsid w:val="0092398F"/>
    <w:rsid w:val="00926AB4"/>
    <w:rsid w:val="00934D02"/>
    <w:rsid w:val="00934E3C"/>
    <w:rsid w:val="009359E8"/>
    <w:rsid w:val="00935CAC"/>
    <w:rsid w:val="009412FA"/>
    <w:rsid w:val="009423FC"/>
    <w:rsid w:val="009440A3"/>
    <w:rsid w:val="009463EB"/>
    <w:rsid w:val="00947490"/>
    <w:rsid w:val="00950989"/>
    <w:rsid w:val="00950CD1"/>
    <w:rsid w:val="00951D6E"/>
    <w:rsid w:val="0095225C"/>
    <w:rsid w:val="00953058"/>
    <w:rsid w:val="00954753"/>
    <w:rsid w:val="0095559D"/>
    <w:rsid w:val="009625D9"/>
    <w:rsid w:val="00975819"/>
    <w:rsid w:val="00980272"/>
    <w:rsid w:val="00981BE9"/>
    <w:rsid w:val="00985437"/>
    <w:rsid w:val="00985A8D"/>
    <w:rsid w:val="00985D5B"/>
    <w:rsid w:val="00986024"/>
    <w:rsid w:val="0099010B"/>
    <w:rsid w:val="00990A62"/>
    <w:rsid w:val="009923E1"/>
    <w:rsid w:val="009934D7"/>
    <w:rsid w:val="009966F7"/>
    <w:rsid w:val="009A0BA1"/>
    <w:rsid w:val="009A2A41"/>
    <w:rsid w:val="009A6A6A"/>
    <w:rsid w:val="009B023E"/>
    <w:rsid w:val="009B24AE"/>
    <w:rsid w:val="009B2924"/>
    <w:rsid w:val="009B5EAF"/>
    <w:rsid w:val="009B7B45"/>
    <w:rsid w:val="009C59A0"/>
    <w:rsid w:val="009C79F3"/>
    <w:rsid w:val="009C7D4A"/>
    <w:rsid w:val="009C7EB1"/>
    <w:rsid w:val="009D0F56"/>
    <w:rsid w:val="009D744F"/>
    <w:rsid w:val="009E34F6"/>
    <w:rsid w:val="009E38EC"/>
    <w:rsid w:val="009E474E"/>
    <w:rsid w:val="009E4C4D"/>
    <w:rsid w:val="009F1CBA"/>
    <w:rsid w:val="009F6C68"/>
    <w:rsid w:val="009F768E"/>
    <w:rsid w:val="00A01C61"/>
    <w:rsid w:val="00A04962"/>
    <w:rsid w:val="00A04EE4"/>
    <w:rsid w:val="00A10619"/>
    <w:rsid w:val="00A113AD"/>
    <w:rsid w:val="00A11950"/>
    <w:rsid w:val="00A13CA8"/>
    <w:rsid w:val="00A14906"/>
    <w:rsid w:val="00A2286E"/>
    <w:rsid w:val="00A242D0"/>
    <w:rsid w:val="00A2774D"/>
    <w:rsid w:val="00A30070"/>
    <w:rsid w:val="00A30799"/>
    <w:rsid w:val="00A356C3"/>
    <w:rsid w:val="00A405AF"/>
    <w:rsid w:val="00A40E99"/>
    <w:rsid w:val="00A427E8"/>
    <w:rsid w:val="00A44C74"/>
    <w:rsid w:val="00A508CB"/>
    <w:rsid w:val="00A542E3"/>
    <w:rsid w:val="00A56E7C"/>
    <w:rsid w:val="00A66652"/>
    <w:rsid w:val="00A67FDE"/>
    <w:rsid w:val="00A70255"/>
    <w:rsid w:val="00A75A99"/>
    <w:rsid w:val="00A85A81"/>
    <w:rsid w:val="00A91984"/>
    <w:rsid w:val="00A9414D"/>
    <w:rsid w:val="00A9421C"/>
    <w:rsid w:val="00A94DDE"/>
    <w:rsid w:val="00A95921"/>
    <w:rsid w:val="00A96B52"/>
    <w:rsid w:val="00AA6CD3"/>
    <w:rsid w:val="00AA6F3B"/>
    <w:rsid w:val="00AB0617"/>
    <w:rsid w:val="00AB0BC8"/>
    <w:rsid w:val="00AB123B"/>
    <w:rsid w:val="00AB2D79"/>
    <w:rsid w:val="00AB2DD9"/>
    <w:rsid w:val="00AB3C2E"/>
    <w:rsid w:val="00AB5794"/>
    <w:rsid w:val="00AC4603"/>
    <w:rsid w:val="00AC6E6F"/>
    <w:rsid w:val="00AD1935"/>
    <w:rsid w:val="00AD1A09"/>
    <w:rsid w:val="00AD1C65"/>
    <w:rsid w:val="00AD64EA"/>
    <w:rsid w:val="00AD7834"/>
    <w:rsid w:val="00AD7A82"/>
    <w:rsid w:val="00AE43FD"/>
    <w:rsid w:val="00AE4646"/>
    <w:rsid w:val="00AE7510"/>
    <w:rsid w:val="00AF0EC9"/>
    <w:rsid w:val="00AF215D"/>
    <w:rsid w:val="00AF4889"/>
    <w:rsid w:val="00B011E4"/>
    <w:rsid w:val="00B03683"/>
    <w:rsid w:val="00B06344"/>
    <w:rsid w:val="00B11EAE"/>
    <w:rsid w:val="00B133ED"/>
    <w:rsid w:val="00B220A6"/>
    <w:rsid w:val="00B2487A"/>
    <w:rsid w:val="00B2537D"/>
    <w:rsid w:val="00B27AAF"/>
    <w:rsid w:val="00B31685"/>
    <w:rsid w:val="00B335BA"/>
    <w:rsid w:val="00B36AEC"/>
    <w:rsid w:val="00B37B89"/>
    <w:rsid w:val="00B40E99"/>
    <w:rsid w:val="00B45602"/>
    <w:rsid w:val="00B47F50"/>
    <w:rsid w:val="00B50CA0"/>
    <w:rsid w:val="00B51181"/>
    <w:rsid w:val="00B51709"/>
    <w:rsid w:val="00B5735A"/>
    <w:rsid w:val="00B60995"/>
    <w:rsid w:val="00B63B5B"/>
    <w:rsid w:val="00B669D5"/>
    <w:rsid w:val="00B72AF4"/>
    <w:rsid w:val="00B7408F"/>
    <w:rsid w:val="00B763A5"/>
    <w:rsid w:val="00B76DEA"/>
    <w:rsid w:val="00B82BD2"/>
    <w:rsid w:val="00B83EAA"/>
    <w:rsid w:val="00B84905"/>
    <w:rsid w:val="00B855F5"/>
    <w:rsid w:val="00B8647C"/>
    <w:rsid w:val="00B86B9D"/>
    <w:rsid w:val="00B90474"/>
    <w:rsid w:val="00B94D5E"/>
    <w:rsid w:val="00B96C47"/>
    <w:rsid w:val="00BA0CED"/>
    <w:rsid w:val="00BA120C"/>
    <w:rsid w:val="00BA165C"/>
    <w:rsid w:val="00BA3215"/>
    <w:rsid w:val="00BA352E"/>
    <w:rsid w:val="00BA6BC8"/>
    <w:rsid w:val="00BB1B86"/>
    <w:rsid w:val="00BB20C3"/>
    <w:rsid w:val="00BB37BF"/>
    <w:rsid w:val="00BB574B"/>
    <w:rsid w:val="00BB5EFD"/>
    <w:rsid w:val="00BB6BF7"/>
    <w:rsid w:val="00BC3261"/>
    <w:rsid w:val="00BC351E"/>
    <w:rsid w:val="00BD0353"/>
    <w:rsid w:val="00BD0F23"/>
    <w:rsid w:val="00BD24EB"/>
    <w:rsid w:val="00BD399A"/>
    <w:rsid w:val="00BD63C9"/>
    <w:rsid w:val="00BD708C"/>
    <w:rsid w:val="00BE0D51"/>
    <w:rsid w:val="00BE0EAA"/>
    <w:rsid w:val="00BE0F4A"/>
    <w:rsid w:val="00BE1816"/>
    <w:rsid w:val="00BE194F"/>
    <w:rsid w:val="00BE2321"/>
    <w:rsid w:val="00BE3FC4"/>
    <w:rsid w:val="00BE4E23"/>
    <w:rsid w:val="00BE7948"/>
    <w:rsid w:val="00BF116E"/>
    <w:rsid w:val="00BF1497"/>
    <w:rsid w:val="00BF1ADB"/>
    <w:rsid w:val="00BF2F6F"/>
    <w:rsid w:val="00BF549F"/>
    <w:rsid w:val="00BF55EE"/>
    <w:rsid w:val="00BF615C"/>
    <w:rsid w:val="00C00B8F"/>
    <w:rsid w:val="00C01170"/>
    <w:rsid w:val="00C02D68"/>
    <w:rsid w:val="00C040ED"/>
    <w:rsid w:val="00C050CB"/>
    <w:rsid w:val="00C06355"/>
    <w:rsid w:val="00C07082"/>
    <w:rsid w:val="00C07D71"/>
    <w:rsid w:val="00C07D7B"/>
    <w:rsid w:val="00C1161C"/>
    <w:rsid w:val="00C11B8B"/>
    <w:rsid w:val="00C12F0F"/>
    <w:rsid w:val="00C15058"/>
    <w:rsid w:val="00C1552F"/>
    <w:rsid w:val="00C1683A"/>
    <w:rsid w:val="00C17AB5"/>
    <w:rsid w:val="00C21BFC"/>
    <w:rsid w:val="00C220E3"/>
    <w:rsid w:val="00C22311"/>
    <w:rsid w:val="00C2526F"/>
    <w:rsid w:val="00C25482"/>
    <w:rsid w:val="00C2719B"/>
    <w:rsid w:val="00C3176E"/>
    <w:rsid w:val="00C32C83"/>
    <w:rsid w:val="00C3756A"/>
    <w:rsid w:val="00C40A1C"/>
    <w:rsid w:val="00C41615"/>
    <w:rsid w:val="00C43084"/>
    <w:rsid w:val="00C44E46"/>
    <w:rsid w:val="00C45404"/>
    <w:rsid w:val="00C46009"/>
    <w:rsid w:val="00C47A3A"/>
    <w:rsid w:val="00C47CAD"/>
    <w:rsid w:val="00C51318"/>
    <w:rsid w:val="00C51F92"/>
    <w:rsid w:val="00C55A9C"/>
    <w:rsid w:val="00C56073"/>
    <w:rsid w:val="00C611C9"/>
    <w:rsid w:val="00C6200A"/>
    <w:rsid w:val="00C6502C"/>
    <w:rsid w:val="00C66C0B"/>
    <w:rsid w:val="00C71D6B"/>
    <w:rsid w:val="00C743F6"/>
    <w:rsid w:val="00C7760B"/>
    <w:rsid w:val="00C808F2"/>
    <w:rsid w:val="00C81D11"/>
    <w:rsid w:val="00C81E1B"/>
    <w:rsid w:val="00C82D9C"/>
    <w:rsid w:val="00C83974"/>
    <w:rsid w:val="00C84E31"/>
    <w:rsid w:val="00C853EF"/>
    <w:rsid w:val="00C874E5"/>
    <w:rsid w:val="00C927B2"/>
    <w:rsid w:val="00C93B45"/>
    <w:rsid w:val="00C93FA1"/>
    <w:rsid w:val="00C960B7"/>
    <w:rsid w:val="00C96A98"/>
    <w:rsid w:val="00C96B2F"/>
    <w:rsid w:val="00CA1190"/>
    <w:rsid w:val="00CA4090"/>
    <w:rsid w:val="00CA732D"/>
    <w:rsid w:val="00CA7F9C"/>
    <w:rsid w:val="00CC00E4"/>
    <w:rsid w:val="00CC47BA"/>
    <w:rsid w:val="00CC4B59"/>
    <w:rsid w:val="00CC52EC"/>
    <w:rsid w:val="00CD1EBE"/>
    <w:rsid w:val="00CD548E"/>
    <w:rsid w:val="00CD57DA"/>
    <w:rsid w:val="00CD6CED"/>
    <w:rsid w:val="00CE063A"/>
    <w:rsid w:val="00CE1ED2"/>
    <w:rsid w:val="00CE292D"/>
    <w:rsid w:val="00CE37C5"/>
    <w:rsid w:val="00CE45B6"/>
    <w:rsid w:val="00CE6FB8"/>
    <w:rsid w:val="00CF024B"/>
    <w:rsid w:val="00CF0586"/>
    <w:rsid w:val="00CF7BF1"/>
    <w:rsid w:val="00D02632"/>
    <w:rsid w:val="00D03B68"/>
    <w:rsid w:val="00D06C6B"/>
    <w:rsid w:val="00D07BAF"/>
    <w:rsid w:val="00D136C3"/>
    <w:rsid w:val="00D156F0"/>
    <w:rsid w:val="00D22E38"/>
    <w:rsid w:val="00D23E56"/>
    <w:rsid w:val="00D2623A"/>
    <w:rsid w:val="00D265B4"/>
    <w:rsid w:val="00D26886"/>
    <w:rsid w:val="00D26CD1"/>
    <w:rsid w:val="00D2740A"/>
    <w:rsid w:val="00D31DC8"/>
    <w:rsid w:val="00D35BF0"/>
    <w:rsid w:val="00D36DA6"/>
    <w:rsid w:val="00D40A41"/>
    <w:rsid w:val="00D41A04"/>
    <w:rsid w:val="00D42ACC"/>
    <w:rsid w:val="00D4399C"/>
    <w:rsid w:val="00D46F70"/>
    <w:rsid w:val="00D473D3"/>
    <w:rsid w:val="00D47FF3"/>
    <w:rsid w:val="00D504A3"/>
    <w:rsid w:val="00D505B8"/>
    <w:rsid w:val="00D51161"/>
    <w:rsid w:val="00D5155E"/>
    <w:rsid w:val="00D51FBF"/>
    <w:rsid w:val="00D603CB"/>
    <w:rsid w:val="00D609D1"/>
    <w:rsid w:val="00D63EA5"/>
    <w:rsid w:val="00D65068"/>
    <w:rsid w:val="00D660C1"/>
    <w:rsid w:val="00D66BC0"/>
    <w:rsid w:val="00D66FC2"/>
    <w:rsid w:val="00D67C64"/>
    <w:rsid w:val="00D67FAC"/>
    <w:rsid w:val="00D72565"/>
    <w:rsid w:val="00D74729"/>
    <w:rsid w:val="00D74BF9"/>
    <w:rsid w:val="00D824D3"/>
    <w:rsid w:val="00D872A4"/>
    <w:rsid w:val="00D904EF"/>
    <w:rsid w:val="00D90E88"/>
    <w:rsid w:val="00D911F2"/>
    <w:rsid w:val="00D93DDA"/>
    <w:rsid w:val="00D93F38"/>
    <w:rsid w:val="00D942B1"/>
    <w:rsid w:val="00D97058"/>
    <w:rsid w:val="00DA12A6"/>
    <w:rsid w:val="00DA19CD"/>
    <w:rsid w:val="00DB09FE"/>
    <w:rsid w:val="00DB1AAB"/>
    <w:rsid w:val="00DB3075"/>
    <w:rsid w:val="00DC08D2"/>
    <w:rsid w:val="00DC48AE"/>
    <w:rsid w:val="00DC5519"/>
    <w:rsid w:val="00DD0598"/>
    <w:rsid w:val="00DD2632"/>
    <w:rsid w:val="00DD2B25"/>
    <w:rsid w:val="00DD51A5"/>
    <w:rsid w:val="00DD5C87"/>
    <w:rsid w:val="00DD6379"/>
    <w:rsid w:val="00DD7855"/>
    <w:rsid w:val="00DE0B69"/>
    <w:rsid w:val="00DE14C7"/>
    <w:rsid w:val="00DE23F2"/>
    <w:rsid w:val="00DE3C90"/>
    <w:rsid w:val="00DE3D22"/>
    <w:rsid w:val="00DE4D7D"/>
    <w:rsid w:val="00DE5AC6"/>
    <w:rsid w:val="00DF138C"/>
    <w:rsid w:val="00DF1B7A"/>
    <w:rsid w:val="00DF4A77"/>
    <w:rsid w:val="00DF554A"/>
    <w:rsid w:val="00DF6A22"/>
    <w:rsid w:val="00DF6F79"/>
    <w:rsid w:val="00DF7CA2"/>
    <w:rsid w:val="00E0076A"/>
    <w:rsid w:val="00E02292"/>
    <w:rsid w:val="00E05EDA"/>
    <w:rsid w:val="00E11DAD"/>
    <w:rsid w:val="00E122F1"/>
    <w:rsid w:val="00E12ADB"/>
    <w:rsid w:val="00E229C5"/>
    <w:rsid w:val="00E22AAD"/>
    <w:rsid w:val="00E25398"/>
    <w:rsid w:val="00E25B72"/>
    <w:rsid w:val="00E31F2A"/>
    <w:rsid w:val="00E335F9"/>
    <w:rsid w:val="00E33BD7"/>
    <w:rsid w:val="00E35E1A"/>
    <w:rsid w:val="00E45030"/>
    <w:rsid w:val="00E45930"/>
    <w:rsid w:val="00E45B9D"/>
    <w:rsid w:val="00E46B83"/>
    <w:rsid w:val="00E50E54"/>
    <w:rsid w:val="00E52A46"/>
    <w:rsid w:val="00E5451A"/>
    <w:rsid w:val="00E54E6C"/>
    <w:rsid w:val="00E55A63"/>
    <w:rsid w:val="00E56278"/>
    <w:rsid w:val="00E56327"/>
    <w:rsid w:val="00E617F8"/>
    <w:rsid w:val="00E645EB"/>
    <w:rsid w:val="00E67E20"/>
    <w:rsid w:val="00E70471"/>
    <w:rsid w:val="00E7157F"/>
    <w:rsid w:val="00E71F38"/>
    <w:rsid w:val="00E72990"/>
    <w:rsid w:val="00E7344B"/>
    <w:rsid w:val="00E73BA4"/>
    <w:rsid w:val="00E762B6"/>
    <w:rsid w:val="00E808DB"/>
    <w:rsid w:val="00E80F4B"/>
    <w:rsid w:val="00E82BA3"/>
    <w:rsid w:val="00E83C60"/>
    <w:rsid w:val="00E90772"/>
    <w:rsid w:val="00E90EDE"/>
    <w:rsid w:val="00E92562"/>
    <w:rsid w:val="00E94DE1"/>
    <w:rsid w:val="00E95C5C"/>
    <w:rsid w:val="00E97B5F"/>
    <w:rsid w:val="00EA176A"/>
    <w:rsid w:val="00EA1A0A"/>
    <w:rsid w:val="00EA1E5B"/>
    <w:rsid w:val="00EA5DB3"/>
    <w:rsid w:val="00EA7734"/>
    <w:rsid w:val="00EB1D28"/>
    <w:rsid w:val="00EB1ECE"/>
    <w:rsid w:val="00EB2AA4"/>
    <w:rsid w:val="00EB40E2"/>
    <w:rsid w:val="00EB553C"/>
    <w:rsid w:val="00EC21EA"/>
    <w:rsid w:val="00EC76D5"/>
    <w:rsid w:val="00ED37CE"/>
    <w:rsid w:val="00EE53F4"/>
    <w:rsid w:val="00EE667C"/>
    <w:rsid w:val="00EE6ED3"/>
    <w:rsid w:val="00EF05BC"/>
    <w:rsid w:val="00EF0A90"/>
    <w:rsid w:val="00EF26DC"/>
    <w:rsid w:val="00EF28BA"/>
    <w:rsid w:val="00EF2D8F"/>
    <w:rsid w:val="00F0006A"/>
    <w:rsid w:val="00F00CA9"/>
    <w:rsid w:val="00F0217B"/>
    <w:rsid w:val="00F03ED2"/>
    <w:rsid w:val="00F04AEE"/>
    <w:rsid w:val="00F04F62"/>
    <w:rsid w:val="00F0573C"/>
    <w:rsid w:val="00F06A02"/>
    <w:rsid w:val="00F07828"/>
    <w:rsid w:val="00F110BA"/>
    <w:rsid w:val="00F11899"/>
    <w:rsid w:val="00F122BB"/>
    <w:rsid w:val="00F12F8A"/>
    <w:rsid w:val="00F140FF"/>
    <w:rsid w:val="00F156F3"/>
    <w:rsid w:val="00F16B5D"/>
    <w:rsid w:val="00F20985"/>
    <w:rsid w:val="00F2191E"/>
    <w:rsid w:val="00F21BA7"/>
    <w:rsid w:val="00F221C4"/>
    <w:rsid w:val="00F243DA"/>
    <w:rsid w:val="00F26121"/>
    <w:rsid w:val="00F306FD"/>
    <w:rsid w:val="00F30C90"/>
    <w:rsid w:val="00F30FD5"/>
    <w:rsid w:val="00F33731"/>
    <w:rsid w:val="00F35A29"/>
    <w:rsid w:val="00F41795"/>
    <w:rsid w:val="00F42CC4"/>
    <w:rsid w:val="00F44AEC"/>
    <w:rsid w:val="00F450AF"/>
    <w:rsid w:val="00F47FCC"/>
    <w:rsid w:val="00F50280"/>
    <w:rsid w:val="00F56A92"/>
    <w:rsid w:val="00F57825"/>
    <w:rsid w:val="00F61211"/>
    <w:rsid w:val="00F64BAE"/>
    <w:rsid w:val="00F65CEF"/>
    <w:rsid w:val="00F72D5F"/>
    <w:rsid w:val="00F73AAF"/>
    <w:rsid w:val="00F8117A"/>
    <w:rsid w:val="00F81B2F"/>
    <w:rsid w:val="00F85DD5"/>
    <w:rsid w:val="00F87957"/>
    <w:rsid w:val="00F922B5"/>
    <w:rsid w:val="00F9365D"/>
    <w:rsid w:val="00F97203"/>
    <w:rsid w:val="00F972A2"/>
    <w:rsid w:val="00F97B52"/>
    <w:rsid w:val="00FA0597"/>
    <w:rsid w:val="00FA1922"/>
    <w:rsid w:val="00FA1BB6"/>
    <w:rsid w:val="00FA2F9E"/>
    <w:rsid w:val="00FA321D"/>
    <w:rsid w:val="00FA36B8"/>
    <w:rsid w:val="00FA715E"/>
    <w:rsid w:val="00FB0F22"/>
    <w:rsid w:val="00FB1CEB"/>
    <w:rsid w:val="00FB3D83"/>
    <w:rsid w:val="00FC0473"/>
    <w:rsid w:val="00FC1BEE"/>
    <w:rsid w:val="00FC43CA"/>
    <w:rsid w:val="00FC48AB"/>
    <w:rsid w:val="00FC60E2"/>
    <w:rsid w:val="00FC7783"/>
    <w:rsid w:val="00FD01B0"/>
    <w:rsid w:val="00FD14F3"/>
    <w:rsid w:val="00FD1BEC"/>
    <w:rsid w:val="00FD252F"/>
    <w:rsid w:val="00FD5083"/>
    <w:rsid w:val="00FD63B7"/>
    <w:rsid w:val="00FD7691"/>
    <w:rsid w:val="00FE00A1"/>
    <w:rsid w:val="00FE1AB3"/>
    <w:rsid w:val="00FE2F6B"/>
    <w:rsid w:val="00FE712E"/>
    <w:rsid w:val="00FF3ABE"/>
    <w:rsid w:val="00FF5A97"/>
    <w:rsid w:val="00FF6C45"/>
    <w:rsid w:val="00FF7703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742"/>
  <w15:docId w15:val="{A94129C8-DD1F-4BBB-9835-624E2C2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161"/>
    <w:rPr>
      <w:vertAlign w:val="superscript"/>
    </w:rPr>
  </w:style>
  <w:style w:type="paragraph" w:styleId="Poprawka">
    <w:name w:val="Revision"/>
    <w:hidden/>
    <w:uiPriority w:val="99"/>
    <w:semiHidden/>
    <w:rsid w:val="007700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.budimex.p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chal.wrzosek@budimex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Props1.xml><?xml version="1.0" encoding="utf-8"?>
<ds:datastoreItem xmlns:ds="http://schemas.openxmlformats.org/officeDocument/2006/customXml" ds:itemID="{67CE1AF6-A0EE-41F2-A491-45D0E3D87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1946</Words>
  <Characters>11678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Wrzosek, Michał</cp:lastModifiedBy>
  <cp:revision>2</cp:revision>
  <cp:lastPrinted>2023-10-27T06:57:00Z</cp:lastPrinted>
  <dcterms:created xsi:type="dcterms:W3CDTF">2024-02-26T10:33:00Z</dcterms:created>
  <dcterms:modified xsi:type="dcterms:W3CDTF">2024-02-26T10:33:00Z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44989d6e3b91d1ddfcd11d0e5060d34ac46ff7391e28517136f43d5258acc987</vt:lpwstr>
  </property>
</Properties>
</file>